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b/>
          <w:bCs/>
          <w:sz w:val="52"/>
          <w:szCs w:val="52"/>
        </w:rPr>
      </w:pPr>
      <w:r>
        <w:rPr>
          <w:rFonts w:hint="default"/>
          <w:b/>
          <w:bCs/>
          <w:sz w:val="52"/>
          <w:szCs w:val="52"/>
          <w:lang w:val="en-US" w:eastAsia="zh-CN"/>
        </w:rPr>
        <w:t>渠县临巴镇绕场镇改线工程</w:t>
      </w:r>
    </w:p>
    <w:p>
      <w:pPr>
        <w:bidi w:val="0"/>
        <w:jc w:val="center"/>
        <w:rPr>
          <w:rFonts w:hint="eastAsia"/>
          <w:b/>
          <w:bCs/>
          <w:sz w:val="52"/>
          <w:szCs w:val="52"/>
        </w:rPr>
      </w:pPr>
      <w:r>
        <w:rPr>
          <w:rFonts w:hint="eastAsia"/>
          <w:b/>
          <w:bCs/>
          <w:sz w:val="52"/>
          <w:szCs w:val="52"/>
        </w:rPr>
        <w:t>环境影响报告书</w:t>
      </w:r>
    </w:p>
    <w:p>
      <w:pPr>
        <w:bidi w:val="0"/>
        <w:jc w:val="center"/>
        <w:rPr>
          <w:rFonts w:hint="eastAsia"/>
          <w:sz w:val="44"/>
          <w:szCs w:val="44"/>
        </w:rPr>
      </w:pPr>
      <w:r>
        <w:rPr>
          <w:rFonts w:hint="eastAsia"/>
          <w:sz w:val="44"/>
          <w:szCs w:val="44"/>
        </w:rPr>
        <w:t>（</w:t>
      </w:r>
      <w:r>
        <w:rPr>
          <w:rFonts w:hint="eastAsia"/>
          <w:sz w:val="44"/>
          <w:szCs w:val="44"/>
          <w:lang w:val="en-US" w:eastAsia="zh-CN"/>
        </w:rPr>
        <w:t>送审稿</w:t>
      </w:r>
      <w:r>
        <w:rPr>
          <w:rFonts w:hint="eastAsia"/>
          <w:sz w:val="44"/>
          <w:szCs w:val="44"/>
        </w:rPr>
        <w:t>）</w:t>
      </w:r>
    </w:p>
    <w:p>
      <w:pPr>
        <w:bidi w:val="0"/>
        <w:jc w:val="center"/>
        <w:rPr>
          <w:sz w:val="44"/>
          <w:szCs w:val="44"/>
        </w:rPr>
      </w:pPr>
    </w:p>
    <w:p>
      <w:pPr>
        <w:bidi w:val="0"/>
        <w:jc w:val="center"/>
        <w:rPr>
          <w:sz w:val="44"/>
          <w:szCs w:val="44"/>
        </w:rPr>
      </w:pPr>
    </w:p>
    <w:p>
      <w:pPr>
        <w:bidi w:val="0"/>
        <w:jc w:val="center"/>
        <w:rPr>
          <w:sz w:val="44"/>
          <w:szCs w:val="44"/>
        </w:rPr>
      </w:pPr>
    </w:p>
    <w:p>
      <w:pPr>
        <w:bidi w:val="0"/>
        <w:jc w:val="center"/>
        <w:rPr>
          <w:sz w:val="44"/>
          <w:szCs w:val="44"/>
        </w:rPr>
      </w:pPr>
    </w:p>
    <w:p>
      <w:pPr>
        <w:bidi w:val="0"/>
        <w:jc w:val="center"/>
        <w:rPr>
          <w:sz w:val="44"/>
          <w:szCs w:val="44"/>
        </w:rPr>
      </w:pPr>
    </w:p>
    <w:p>
      <w:pPr>
        <w:bidi w:val="0"/>
        <w:jc w:val="center"/>
        <w:rPr>
          <w:sz w:val="44"/>
          <w:szCs w:val="44"/>
        </w:rPr>
      </w:pPr>
    </w:p>
    <w:p>
      <w:pPr>
        <w:bidi w:val="0"/>
        <w:jc w:val="center"/>
        <w:rPr>
          <w:sz w:val="44"/>
          <w:szCs w:val="44"/>
        </w:rPr>
      </w:pPr>
    </w:p>
    <w:p>
      <w:pPr>
        <w:bidi w:val="0"/>
        <w:jc w:val="center"/>
        <w:rPr>
          <w:sz w:val="44"/>
          <w:szCs w:val="44"/>
        </w:rPr>
      </w:pPr>
    </w:p>
    <w:p>
      <w:pPr>
        <w:bidi w:val="0"/>
        <w:jc w:val="center"/>
        <w:rPr>
          <w:sz w:val="44"/>
          <w:szCs w:val="44"/>
        </w:rPr>
      </w:pPr>
    </w:p>
    <w:p>
      <w:pPr>
        <w:bidi w:val="0"/>
        <w:jc w:val="center"/>
        <w:rPr>
          <w:sz w:val="44"/>
          <w:szCs w:val="44"/>
        </w:rPr>
      </w:pPr>
    </w:p>
    <w:p>
      <w:pPr>
        <w:bidi w:val="0"/>
        <w:jc w:val="center"/>
        <w:rPr>
          <w:sz w:val="44"/>
          <w:szCs w:val="44"/>
        </w:rPr>
      </w:pPr>
    </w:p>
    <w:p>
      <w:pPr>
        <w:bidi w:val="0"/>
        <w:jc w:val="center"/>
        <w:rPr>
          <w:sz w:val="44"/>
          <w:szCs w:val="44"/>
        </w:rPr>
      </w:pPr>
    </w:p>
    <w:p>
      <w:pPr>
        <w:bidi w:val="0"/>
        <w:jc w:val="center"/>
        <w:rPr>
          <w:rFonts w:hint="eastAsia"/>
          <w:sz w:val="36"/>
          <w:szCs w:val="36"/>
        </w:rPr>
      </w:pPr>
      <w:r>
        <w:rPr>
          <w:rFonts w:hint="eastAsia"/>
          <w:sz w:val="36"/>
          <w:szCs w:val="36"/>
        </w:rPr>
        <w:t>建设单位：</w:t>
      </w:r>
      <w:r>
        <w:rPr>
          <w:rFonts w:hint="eastAsia"/>
          <w:sz w:val="36"/>
          <w:szCs w:val="36"/>
          <w:lang w:eastAsia="zh-CN"/>
        </w:rPr>
        <w:t>渠县交投建设有限责任公司</w:t>
      </w:r>
    </w:p>
    <w:p>
      <w:pPr>
        <w:bidi w:val="0"/>
        <w:jc w:val="center"/>
        <w:rPr>
          <w:rFonts w:hint="default"/>
          <w:sz w:val="36"/>
          <w:szCs w:val="36"/>
          <w:lang w:val="en-US" w:eastAsia="zh-CN"/>
        </w:rPr>
      </w:pPr>
      <w:r>
        <w:rPr>
          <w:rFonts w:hint="eastAsia"/>
          <w:sz w:val="36"/>
          <w:szCs w:val="36"/>
        </w:rPr>
        <w:t>编制单位：</w:t>
      </w:r>
      <w:r>
        <w:rPr>
          <w:rFonts w:hint="eastAsia"/>
          <w:sz w:val="36"/>
          <w:szCs w:val="36"/>
          <w:lang w:val="en-US" w:eastAsia="zh-CN"/>
        </w:rPr>
        <w:t>四川川品全过程工程咨询有限公司</w:t>
      </w:r>
    </w:p>
    <w:p>
      <w:pPr>
        <w:bidi w:val="0"/>
        <w:jc w:val="center"/>
        <w:rPr>
          <w:sz w:val="36"/>
          <w:szCs w:val="36"/>
        </w:rPr>
      </w:pPr>
    </w:p>
    <w:p>
      <w:pPr>
        <w:bidi w:val="0"/>
        <w:jc w:val="center"/>
        <w:rPr>
          <w:sz w:val="36"/>
          <w:szCs w:val="36"/>
        </w:rPr>
      </w:pPr>
      <w:r>
        <w:rPr>
          <w:sz w:val="36"/>
          <w:szCs w:val="36"/>
        </w:rPr>
        <w:t xml:space="preserve">2021 年 </w:t>
      </w:r>
      <w:r>
        <w:rPr>
          <w:rFonts w:hint="eastAsia"/>
          <w:sz w:val="36"/>
          <w:szCs w:val="36"/>
          <w:lang w:val="en-US" w:eastAsia="zh-CN"/>
        </w:rPr>
        <w:t>12</w:t>
      </w:r>
      <w:r>
        <w:rPr>
          <w:sz w:val="36"/>
          <w:szCs w:val="36"/>
        </w:rPr>
        <w:t xml:space="preserve"> 月</w:t>
      </w:r>
    </w:p>
    <w:p>
      <w:pPr>
        <w:bidi w:val="0"/>
        <w:rPr>
          <w:lang w:val="zh-CN" w:eastAsia="zh-CN"/>
        </w:rPr>
      </w:pPr>
    </w:p>
    <w:p>
      <w:pPr>
        <w:keepLines w:val="0"/>
        <w:pageBreakBefore w:val="0"/>
        <w:widowControl/>
        <w:numPr>
          <w:ilvl w:val="0"/>
          <w:numId w:val="0"/>
        </w:numPr>
        <w:kinsoku/>
        <w:wordWrap/>
        <w:overflowPunct/>
        <w:topLinePunct w:val="0"/>
        <w:bidi w:val="0"/>
        <w:adjustRightInd w:val="0"/>
        <w:snapToGrid w:val="0"/>
        <w:spacing w:line="360" w:lineRule="auto"/>
        <w:ind w:firstLine="482" w:firstLineChars="200"/>
        <w:jc w:val="center"/>
        <w:textAlignment w:val="auto"/>
        <w:rPr>
          <w:rFonts w:hint="eastAsia" w:ascii="宋体" w:hAnsi="宋体" w:eastAsia="宋体" w:cs="宋体"/>
          <w:b/>
          <w:bCs/>
          <w:sz w:val="24"/>
          <w:szCs w:val="24"/>
          <w:lang w:val="en-US" w:eastAsia="zh-CN"/>
        </w:rPr>
      </w:pPr>
    </w:p>
    <w:p>
      <w:pPr>
        <w:keepLines w:val="0"/>
        <w:pageBreakBefore w:val="0"/>
        <w:widowControl/>
        <w:numPr>
          <w:ilvl w:val="0"/>
          <w:numId w:val="0"/>
        </w:numPr>
        <w:kinsoku/>
        <w:wordWrap/>
        <w:overflowPunct/>
        <w:topLinePunct w:val="0"/>
        <w:bidi w:val="0"/>
        <w:adjustRightInd w:val="0"/>
        <w:snapToGrid w:val="0"/>
        <w:spacing w:line="360" w:lineRule="auto"/>
        <w:ind w:firstLine="482" w:firstLineChars="200"/>
        <w:jc w:val="center"/>
        <w:textAlignment w:val="auto"/>
        <w:rPr>
          <w:rFonts w:hint="eastAsia" w:ascii="宋体" w:hAnsi="宋体" w:eastAsia="宋体" w:cs="宋体"/>
          <w:b/>
          <w:bCs/>
          <w:sz w:val="24"/>
          <w:szCs w:val="24"/>
          <w:lang w:val="en-US" w:eastAsia="zh-CN"/>
        </w:rPr>
      </w:pPr>
    </w:p>
    <w:p>
      <w:pPr>
        <w:keepLines w:val="0"/>
        <w:pageBreakBefore w:val="0"/>
        <w:widowControl/>
        <w:numPr>
          <w:ilvl w:val="0"/>
          <w:numId w:val="0"/>
        </w:numPr>
        <w:kinsoku/>
        <w:wordWrap/>
        <w:overflowPunct/>
        <w:topLinePunct w:val="0"/>
        <w:bidi w:val="0"/>
        <w:adjustRightInd w:val="0"/>
        <w:snapToGrid w:val="0"/>
        <w:spacing w:line="360" w:lineRule="auto"/>
        <w:ind w:firstLine="482" w:firstLineChars="200"/>
        <w:jc w:val="center"/>
        <w:textAlignment w:val="auto"/>
        <w:rPr>
          <w:rFonts w:hint="eastAsia" w:ascii="宋体" w:hAnsi="宋体" w:eastAsia="宋体" w:cs="宋体"/>
          <w:b/>
          <w:bCs/>
          <w:sz w:val="24"/>
          <w:szCs w:val="24"/>
          <w:lang w:val="en-US" w:eastAsia="zh-CN"/>
        </w:rPr>
      </w:pPr>
    </w:p>
    <w:p>
      <w:pPr>
        <w:keepLines w:val="0"/>
        <w:pageBreakBefore w:val="0"/>
        <w:widowControl/>
        <w:numPr>
          <w:ilvl w:val="0"/>
          <w:numId w:val="0"/>
        </w:numPr>
        <w:kinsoku/>
        <w:wordWrap/>
        <w:overflowPunct/>
        <w:topLinePunct w:val="0"/>
        <w:bidi w:val="0"/>
        <w:adjustRightInd w:val="0"/>
        <w:snapToGrid w:val="0"/>
        <w:spacing w:line="360" w:lineRule="auto"/>
        <w:ind w:firstLine="482" w:firstLineChars="200"/>
        <w:jc w:val="center"/>
        <w:textAlignment w:val="auto"/>
        <w:rPr>
          <w:rFonts w:hint="eastAsia" w:ascii="宋体" w:hAnsi="宋体" w:eastAsia="宋体" w:cs="宋体"/>
          <w:b/>
          <w:bCs/>
          <w:sz w:val="24"/>
          <w:szCs w:val="24"/>
          <w:lang w:val="en-US" w:eastAsia="zh-CN"/>
        </w:rPr>
      </w:pPr>
    </w:p>
    <w:p>
      <w:pPr>
        <w:keepLines w:val="0"/>
        <w:pageBreakBefore w:val="0"/>
        <w:widowControl/>
        <w:numPr>
          <w:ilvl w:val="0"/>
          <w:numId w:val="0"/>
        </w:numPr>
        <w:kinsoku/>
        <w:wordWrap/>
        <w:overflowPunct/>
        <w:topLinePunct w:val="0"/>
        <w:bidi w:val="0"/>
        <w:adjustRightInd w:val="0"/>
        <w:snapToGrid w:val="0"/>
        <w:spacing w:line="360" w:lineRule="auto"/>
        <w:ind w:firstLine="482" w:firstLineChars="200"/>
        <w:jc w:val="center"/>
        <w:textAlignment w:val="auto"/>
        <w:rPr>
          <w:rFonts w:hint="eastAsia" w:ascii="宋体" w:hAnsi="宋体" w:eastAsia="宋体" w:cs="宋体"/>
          <w:b/>
          <w:bCs/>
          <w:sz w:val="24"/>
          <w:szCs w:val="24"/>
          <w:lang w:val="en-US" w:eastAsia="zh-CN"/>
        </w:rPr>
      </w:pPr>
    </w:p>
    <w:p>
      <w:pPr>
        <w:keepLines w:val="0"/>
        <w:pageBreakBefore w:val="0"/>
        <w:widowControl/>
        <w:numPr>
          <w:ilvl w:val="0"/>
          <w:numId w:val="0"/>
        </w:numPr>
        <w:kinsoku/>
        <w:wordWrap/>
        <w:overflowPunct/>
        <w:topLinePunct w:val="0"/>
        <w:bidi w:val="0"/>
        <w:adjustRightInd w:val="0"/>
        <w:snapToGrid w:val="0"/>
        <w:spacing w:line="360" w:lineRule="auto"/>
        <w:ind w:firstLine="482" w:firstLineChars="200"/>
        <w:jc w:val="center"/>
        <w:textAlignment w:val="auto"/>
        <w:rPr>
          <w:rFonts w:hint="eastAsia" w:ascii="宋体" w:hAnsi="宋体" w:eastAsia="宋体" w:cs="宋体"/>
          <w:b/>
          <w:bCs/>
          <w:sz w:val="24"/>
          <w:szCs w:val="24"/>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0" w:lineRule="atLeast"/>
        <w:ind w:left="0" w:leftChars="0" w:firstLine="482" w:firstLineChars="200"/>
        <w:jc w:val="center"/>
        <w:textAlignment w:val="auto"/>
        <w:rPr>
          <w:rFonts w:hint="eastAsia" w:ascii="宋体" w:hAnsi="宋体" w:eastAsia="宋体" w:cs="宋体"/>
          <w:b/>
          <w:bCs/>
          <w:sz w:val="24"/>
          <w:szCs w:val="24"/>
          <w:lang w:val="en-US" w:eastAsia="zh-CN"/>
        </w:rPr>
      </w:pPr>
    </w:p>
    <w:sdt>
      <w:sdtPr>
        <w:rPr>
          <w:rFonts w:ascii="宋体" w:hAnsi="宋体" w:eastAsia="宋体" w:cs="宋体"/>
          <w:sz w:val="24"/>
          <w:szCs w:val="24"/>
          <w:lang w:val="zh-CN" w:eastAsia="zh-CN" w:bidi="zh-CN"/>
        </w:rPr>
        <w:id w:val="147476494"/>
        <w15:color w:val="DBDBDB"/>
        <w:docPartObj>
          <w:docPartGallery w:val="Table of Contents"/>
          <w:docPartUnique/>
        </w:docPartObj>
      </w:sdtPr>
      <w:sdtEndPr>
        <w:rPr>
          <w:rFonts w:hint="eastAsia" w:ascii="宋体" w:hAnsi="宋体" w:eastAsia="宋体" w:cs="宋体"/>
          <w:b/>
          <w:bCs/>
          <w:sz w:val="22"/>
          <w:szCs w:val="24"/>
          <w:lang w:val="en-US" w:eastAsia="zh-CN" w:bidi="zh-CN"/>
        </w:rPr>
      </w:sdtEndPr>
      <w:sdtContent>
        <w:p>
          <w:pPr>
            <w:keepNext w:val="0"/>
            <w:keepLines w:val="0"/>
            <w:pageBreakBefore w:val="0"/>
            <w:kinsoku/>
            <w:wordWrap/>
            <w:overflowPunct/>
            <w:topLinePunct w:val="0"/>
            <w:autoSpaceDE w:val="0"/>
            <w:autoSpaceDN w:val="0"/>
            <w:bidi w:val="0"/>
            <w:spacing w:before="0" w:after="0" w:line="30" w:lineRule="atLeast"/>
            <w:ind w:left="0" w:leftChars="0" w:right="0" w:rightChars="0" w:firstLine="0" w:firstLineChars="0"/>
            <w:jc w:val="center"/>
            <w:textAlignment w:val="auto"/>
            <w:rPr>
              <w:sz w:val="24"/>
              <w:szCs w:val="24"/>
            </w:rPr>
          </w:pPr>
          <w:r>
            <w:rPr>
              <w:rFonts w:ascii="宋体" w:hAnsi="宋体" w:eastAsia="宋体"/>
              <w:sz w:val="24"/>
              <w:szCs w:val="24"/>
            </w:rPr>
            <w:t>目录</w:t>
          </w:r>
        </w:p>
        <w:p>
          <w:pPr>
            <w:pStyle w:val="14"/>
            <w:tabs>
              <w:tab w:val="right" w:leader="dot" w:pos="9510"/>
            </w:tabs>
            <w:spacing w:line="360" w:lineRule="auto"/>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TOC \o "1-2" \h \u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_Toc11305 </w:instrText>
          </w:r>
          <w:r>
            <w:rPr>
              <w:rFonts w:hint="eastAsia" w:ascii="宋体" w:hAnsi="宋体" w:eastAsia="宋体" w:cs="宋体"/>
              <w:bCs/>
              <w:szCs w:val="24"/>
              <w:lang w:val="en-US" w:eastAsia="zh-CN"/>
            </w:rPr>
            <w:fldChar w:fldCharType="separate"/>
          </w:r>
          <w:r>
            <w:rPr>
              <w:rFonts w:hint="eastAsia" w:ascii="宋体" w:hAnsi="宋体" w:eastAsia="宋体" w:cs="宋体"/>
              <w:bCs/>
              <w:szCs w:val="24"/>
              <w:lang w:val="en-US" w:eastAsia="zh-CN"/>
            </w:rPr>
            <w:t>概述</w:t>
          </w:r>
          <w:r>
            <w:tab/>
          </w:r>
          <w:r>
            <w:fldChar w:fldCharType="begin"/>
          </w:r>
          <w:r>
            <w:instrText xml:space="preserve"> PAGEREF _Toc11305 \h </w:instrText>
          </w:r>
          <w:r>
            <w:fldChar w:fldCharType="separate"/>
          </w:r>
          <w:r>
            <w:t>5</w:t>
          </w:r>
          <w:r>
            <w:fldChar w:fldCharType="end"/>
          </w:r>
          <w:r>
            <w:rPr>
              <w:rFonts w:hint="eastAsia" w:ascii="宋体" w:hAnsi="宋体" w:eastAsia="宋体" w:cs="宋体"/>
              <w:bCs/>
              <w:szCs w:val="24"/>
              <w:lang w:val="en-US" w:eastAsia="zh-CN"/>
            </w:rPr>
            <w:fldChar w:fldCharType="end"/>
          </w:r>
        </w:p>
        <w:p>
          <w:pPr>
            <w:pStyle w:val="14"/>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_Toc26111 </w:instrText>
          </w:r>
          <w:r>
            <w:rPr>
              <w:rFonts w:hint="eastAsia" w:ascii="宋体" w:hAnsi="宋体" w:eastAsia="宋体" w:cs="宋体"/>
              <w:bCs/>
              <w:szCs w:val="24"/>
              <w:lang w:val="en-US" w:eastAsia="zh-CN"/>
            </w:rPr>
            <w:fldChar w:fldCharType="separate"/>
          </w:r>
          <w:r>
            <w:rPr>
              <w:rFonts w:hint="eastAsia"/>
              <w:szCs w:val="24"/>
              <w:lang w:val="en-US" w:eastAsia="zh-CN"/>
            </w:rPr>
            <w:t>1.总则</w:t>
          </w:r>
          <w:r>
            <w:tab/>
          </w:r>
          <w:r>
            <w:fldChar w:fldCharType="begin"/>
          </w:r>
          <w:r>
            <w:instrText xml:space="preserve"> PAGEREF _Toc26111 \h </w:instrText>
          </w:r>
          <w:r>
            <w:fldChar w:fldCharType="separate"/>
          </w:r>
          <w:r>
            <w:t>8</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_Toc17495 </w:instrText>
          </w:r>
          <w:r>
            <w:rPr>
              <w:rFonts w:hint="eastAsia" w:ascii="宋体" w:hAnsi="宋体" w:eastAsia="宋体" w:cs="宋体"/>
              <w:bCs/>
              <w:szCs w:val="24"/>
              <w:lang w:val="en-US" w:eastAsia="zh-CN"/>
            </w:rPr>
            <w:fldChar w:fldCharType="separate"/>
          </w:r>
          <w:r>
            <w:rPr>
              <w:rFonts w:hint="eastAsia"/>
              <w:szCs w:val="24"/>
              <w:lang w:val="en-US" w:eastAsia="zh-CN"/>
            </w:rPr>
            <w:t>1.1.本工程建设的意义</w:t>
          </w:r>
          <w:r>
            <w:tab/>
          </w:r>
          <w:r>
            <w:fldChar w:fldCharType="begin"/>
          </w:r>
          <w:r>
            <w:instrText xml:space="preserve"> PAGEREF _Toc17495 \h </w:instrText>
          </w:r>
          <w:r>
            <w:fldChar w:fldCharType="separate"/>
          </w:r>
          <w:r>
            <w:t>8</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_Toc5363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1.2.评价目的</w:t>
          </w:r>
          <w:r>
            <w:tab/>
          </w:r>
          <w:r>
            <w:fldChar w:fldCharType="begin"/>
          </w:r>
          <w:r>
            <w:instrText xml:space="preserve"> PAGEREF _Toc5363 \h </w:instrText>
          </w:r>
          <w:r>
            <w:fldChar w:fldCharType="separate"/>
          </w:r>
          <w:r>
            <w:t>10</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_Toc29354 </w:instrText>
          </w:r>
          <w:r>
            <w:rPr>
              <w:rFonts w:hint="eastAsia" w:ascii="宋体" w:hAnsi="宋体" w:eastAsia="宋体" w:cs="宋体"/>
              <w:bCs/>
              <w:szCs w:val="24"/>
              <w:lang w:val="en-US" w:eastAsia="zh-CN"/>
            </w:rPr>
            <w:fldChar w:fldCharType="separate"/>
          </w:r>
          <w:r>
            <w:rPr>
              <w:rFonts w:hint="eastAsia"/>
              <w:szCs w:val="24"/>
              <w:lang w:val="en-US" w:eastAsia="zh-CN"/>
            </w:rPr>
            <w:t>1.3.编制依据</w:t>
          </w:r>
          <w:r>
            <w:tab/>
          </w:r>
          <w:r>
            <w:fldChar w:fldCharType="begin"/>
          </w:r>
          <w:r>
            <w:instrText xml:space="preserve"> PAGEREF _Toc29354 \h </w:instrText>
          </w:r>
          <w:r>
            <w:fldChar w:fldCharType="separate"/>
          </w:r>
          <w:r>
            <w:t>10</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_Toc29588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1.4.评价因子</w:t>
          </w:r>
          <w:r>
            <w:tab/>
          </w:r>
          <w:r>
            <w:fldChar w:fldCharType="begin"/>
          </w:r>
          <w:r>
            <w:instrText xml:space="preserve"> PAGEREF _Toc29588 \h </w:instrText>
          </w:r>
          <w:r>
            <w:fldChar w:fldCharType="separate"/>
          </w:r>
          <w:r>
            <w:t>15</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_Toc18579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1.5.相关规划与环境功能区划</w:t>
          </w:r>
          <w:r>
            <w:tab/>
          </w:r>
          <w:r>
            <w:fldChar w:fldCharType="begin"/>
          </w:r>
          <w:r>
            <w:instrText xml:space="preserve"> PAGEREF _Toc18579 \h </w:instrText>
          </w:r>
          <w:r>
            <w:fldChar w:fldCharType="separate"/>
          </w:r>
          <w:r>
            <w:t>16</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_Toc4238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1.6.评价标准</w:t>
          </w:r>
          <w:r>
            <w:tab/>
          </w:r>
          <w:r>
            <w:fldChar w:fldCharType="begin"/>
          </w:r>
          <w:r>
            <w:instrText xml:space="preserve"> PAGEREF _Toc4238 \h </w:instrText>
          </w:r>
          <w:r>
            <w:fldChar w:fldCharType="separate"/>
          </w:r>
          <w:r>
            <w:t>20</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_Toc14634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1.7.评价等级</w:t>
          </w:r>
          <w:r>
            <w:tab/>
          </w:r>
          <w:r>
            <w:fldChar w:fldCharType="begin"/>
          </w:r>
          <w:r>
            <w:instrText xml:space="preserve"> PAGEREF _Toc14634 \h </w:instrText>
          </w:r>
          <w:r>
            <w:fldChar w:fldCharType="separate"/>
          </w:r>
          <w:r>
            <w:t>22</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_Toc32096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1.8.评价范围</w:t>
          </w:r>
          <w:r>
            <w:tab/>
          </w:r>
          <w:r>
            <w:fldChar w:fldCharType="begin"/>
          </w:r>
          <w:r>
            <w:instrText xml:space="preserve"> PAGEREF _Toc32096 \h </w:instrText>
          </w:r>
          <w:r>
            <w:fldChar w:fldCharType="separate"/>
          </w:r>
          <w:r>
            <w:t>23</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_Toc30605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1.9.评价原则与方法</w:t>
          </w:r>
          <w:r>
            <w:tab/>
          </w:r>
          <w:r>
            <w:fldChar w:fldCharType="begin"/>
          </w:r>
          <w:r>
            <w:instrText xml:space="preserve"> PAGEREF _Toc30605 \h </w:instrText>
          </w:r>
          <w:r>
            <w:fldChar w:fldCharType="separate"/>
          </w:r>
          <w:r>
            <w:t>24</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_Toc29132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1.10.评价重点</w:t>
          </w:r>
          <w:r>
            <w:tab/>
          </w:r>
          <w:r>
            <w:fldChar w:fldCharType="begin"/>
          </w:r>
          <w:r>
            <w:instrText xml:space="preserve"> PAGEREF _Toc29132 \h </w:instrText>
          </w:r>
          <w:r>
            <w:fldChar w:fldCharType="separate"/>
          </w:r>
          <w:r>
            <w:t>25</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_Toc20777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1.10.环境保护目标</w:t>
          </w:r>
          <w:r>
            <w:tab/>
          </w:r>
          <w:r>
            <w:fldChar w:fldCharType="begin"/>
          </w:r>
          <w:r>
            <w:instrText xml:space="preserve"> PAGEREF _Toc20777 \h </w:instrText>
          </w:r>
          <w:r>
            <w:fldChar w:fldCharType="separate"/>
          </w:r>
          <w:r>
            <w:t>25</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_Toc28533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1.11.评价预测时段</w:t>
          </w:r>
          <w:r>
            <w:tab/>
          </w:r>
          <w:r>
            <w:fldChar w:fldCharType="begin"/>
          </w:r>
          <w:r>
            <w:instrText xml:space="preserve"> PAGEREF _Toc28533 \h </w:instrText>
          </w:r>
          <w:r>
            <w:fldChar w:fldCharType="separate"/>
          </w:r>
          <w:r>
            <w:t>28</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_Toc11099 </w:instrText>
          </w:r>
          <w:r>
            <w:rPr>
              <w:rFonts w:hint="eastAsia" w:ascii="宋体" w:hAnsi="宋体" w:eastAsia="宋体" w:cs="宋体"/>
              <w:bCs/>
              <w:szCs w:val="24"/>
              <w:lang w:val="en-US" w:eastAsia="zh-CN"/>
            </w:rPr>
            <w:fldChar w:fldCharType="separate"/>
          </w:r>
          <w:r>
            <w:rPr>
              <w:rFonts w:hint="eastAsia" w:asciiTheme="minorEastAsia" w:hAnsiTheme="minorEastAsia" w:eastAsiaTheme="minorEastAsia" w:cstheme="minorEastAsia"/>
              <w:szCs w:val="24"/>
              <w:lang w:val="en-US" w:eastAsia="zh-CN"/>
            </w:rPr>
            <w:t>1.12.评价工作程序</w:t>
          </w:r>
          <w:r>
            <w:tab/>
          </w:r>
          <w:r>
            <w:fldChar w:fldCharType="begin"/>
          </w:r>
          <w:r>
            <w:instrText xml:space="preserve"> PAGEREF _Toc11099 \h </w:instrText>
          </w:r>
          <w:r>
            <w:fldChar w:fldCharType="separate"/>
          </w:r>
          <w:r>
            <w:t>28</w:t>
          </w:r>
          <w:r>
            <w:fldChar w:fldCharType="end"/>
          </w:r>
          <w:r>
            <w:rPr>
              <w:rFonts w:hint="eastAsia" w:ascii="宋体" w:hAnsi="宋体" w:eastAsia="宋体" w:cs="宋体"/>
              <w:bCs/>
              <w:szCs w:val="24"/>
              <w:lang w:val="en-US" w:eastAsia="zh-CN"/>
            </w:rPr>
            <w:fldChar w:fldCharType="end"/>
          </w:r>
        </w:p>
        <w:p>
          <w:pPr>
            <w:pStyle w:val="14"/>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_Toc3964 </w:instrText>
          </w:r>
          <w:r>
            <w:rPr>
              <w:rFonts w:hint="eastAsia" w:ascii="宋体" w:hAnsi="宋体" w:eastAsia="宋体" w:cs="宋体"/>
              <w:bCs/>
              <w:szCs w:val="24"/>
              <w:lang w:val="en-US" w:eastAsia="zh-CN"/>
            </w:rPr>
            <w:fldChar w:fldCharType="separate"/>
          </w:r>
          <w:r>
            <w:rPr>
              <w:rFonts w:hint="eastAsia"/>
              <w:szCs w:val="24"/>
              <w:lang w:val="en-US" w:eastAsia="zh-CN"/>
            </w:rPr>
            <w:t>2.建设项目工程分析</w:t>
          </w:r>
          <w:r>
            <w:tab/>
          </w:r>
          <w:r>
            <w:fldChar w:fldCharType="begin"/>
          </w:r>
          <w:r>
            <w:instrText xml:space="preserve"> PAGEREF _Toc3964 \h </w:instrText>
          </w:r>
          <w:r>
            <w:fldChar w:fldCharType="separate"/>
          </w:r>
          <w:r>
            <w:t>30</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_Toc18188 </w:instrText>
          </w:r>
          <w:r>
            <w:rPr>
              <w:rFonts w:hint="eastAsia" w:ascii="宋体" w:hAnsi="宋体" w:eastAsia="宋体" w:cs="宋体"/>
              <w:bCs/>
              <w:szCs w:val="24"/>
              <w:lang w:val="en-US" w:eastAsia="zh-CN"/>
            </w:rPr>
            <w:fldChar w:fldCharType="separate"/>
          </w:r>
          <w:r>
            <w:rPr>
              <w:rFonts w:hint="eastAsia"/>
              <w:szCs w:val="24"/>
              <w:lang w:val="en-US" w:eastAsia="zh-CN"/>
            </w:rPr>
            <w:t>2.1.项目基本信息</w:t>
          </w:r>
          <w:r>
            <w:tab/>
          </w:r>
          <w:r>
            <w:fldChar w:fldCharType="begin"/>
          </w:r>
          <w:r>
            <w:instrText xml:space="preserve"> PAGEREF _Toc18188 \h </w:instrText>
          </w:r>
          <w:r>
            <w:fldChar w:fldCharType="separate"/>
          </w:r>
          <w:r>
            <w:t>30</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_Toc12849 </w:instrText>
          </w:r>
          <w:r>
            <w:rPr>
              <w:rFonts w:hint="eastAsia" w:ascii="宋体" w:hAnsi="宋体" w:eastAsia="宋体" w:cs="宋体"/>
              <w:bCs/>
              <w:szCs w:val="24"/>
              <w:lang w:val="en-US" w:eastAsia="zh-CN"/>
            </w:rPr>
            <w:fldChar w:fldCharType="separate"/>
          </w:r>
          <w:r>
            <w:rPr>
              <w:rFonts w:hint="eastAsia"/>
              <w:szCs w:val="24"/>
              <w:lang w:val="en-US" w:eastAsia="zh-CN"/>
            </w:rPr>
            <w:t>2.2.地理位置与路线走向</w:t>
          </w:r>
          <w:r>
            <w:tab/>
          </w:r>
          <w:r>
            <w:fldChar w:fldCharType="begin"/>
          </w:r>
          <w:r>
            <w:instrText xml:space="preserve"> PAGEREF _Toc12849 \h </w:instrText>
          </w:r>
          <w:r>
            <w:fldChar w:fldCharType="separate"/>
          </w:r>
          <w:r>
            <w:t>30</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_Toc16948 </w:instrText>
          </w:r>
          <w:r>
            <w:rPr>
              <w:rFonts w:hint="eastAsia" w:ascii="宋体" w:hAnsi="宋体" w:eastAsia="宋体" w:cs="宋体"/>
              <w:bCs/>
              <w:szCs w:val="24"/>
              <w:lang w:val="en-US" w:eastAsia="zh-CN"/>
            </w:rPr>
            <w:fldChar w:fldCharType="separate"/>
          </w:r>
          <w:r>
            <w:rPr>
              <w:rFonts w:hint="eastAsia"/>
              <w:szCs w:val="24"/>
              <w:lang w:val="en-US" w:eastAsia="zh-CN"/>
            </w:rPr>
            <w:t>2.3.主要技术标准与建设规模</w:t>
          </w:r>
          <w:r>
            <w:tab/>
          </w:r>
          <w:r>
            <w:fldChar w:fldCharType="begin"/>
          </w:r>
          <w:r>
            <w:instrText xml:space="preserve"> PAGEREF _Toc16948 \h </w:instrText>
          </w:r>
          <w:r>
            <w:fldChar w:fldCharType="separate"/>
          </w:r>
          <w:r>
            <w:t>31</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_Toc18696 </w:instrText>
          </w:r>
          <w:r>
            <w:rPr>
              <w:rFonts w:hint="eastAsia" w:ascii="宋体" w:hAnsi="宋体" w:eastAsia="宋体" w:cs="宋体"/>
              <w:bCs/>
              <w:szCs w:val="24"/>
              <w:lang w:val="en-US" w:eastAsia="zh-CN"/>
            </w:rPr>
            <w:fldChar w:fldCharType="separate"/>
          </w:r>
          <w:r>
            <w:rPr>
              <w:rFonts w:hint="eastAsia"/>
              <w:szCs w:val="24"/>
              <w:lang w:val="en-US" w:eastAsia="zh-CN"/>
            </w:rPr>
            <w:t>2.4.交通预测量</w:t>
          </w:r>
          <w:r>
            <w:tab/>
          </w:r>
          <w:r>
            <w:fldChar w:fldCharType="begin"/>
          </w:r>
          <w:r>
            <w:instrText xml:space="preserve"> PAGEREF _Toc18696 \h </w:instrText>
          </w:r>
          <w:r>
            <w:fldChar w:fldCharType="separate"/>
          </w:r>
          <w:r>
            <w:t>31</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_Toc20069 </w:instrText>
          </w:r>
          <w:r>
            <w:rPr>
              <w:rFonts w:hint="eastAsia" w:ascii="宋体" w:hAnsi="宋体" w:eastAsia="宋体" w:cs="宋体"/>
              <w:bCs/>
              <w:szCs w:val="24"/>
              <w:lang w:val="en-US" w:eastAsia="zh-CN"/>
            </w:rPr>
            <w:fldChar w:fldCharType="separate"/>
          </w:r>
          <w:r>
            <w:rPr>
              <w:rFonts w:hint="eastAsia"/>
              <w:szCs w:val="24"/>
              <w:lang w:val="en-US" w:eastAsia="zh-CN"/>
            </w:rPr>
            <w:t>2.5.主体工程建设方案</w:t>
          </w:r>
          <w:r>
            <w:tab/>
          </w:r>
          <w:r>
            <w:fldChar w:fldCharType="begin"/>
          </w:r>
          <w:r>
            <w:instrText xml:space="preserve"> PAGEREF _Toc20069 \h </w:instrText>
          </w:r>
          <w:r>
            <w:fldChar w:fldCharType="separate"/>
          </w:r>
          <w:r>
            <w:t>31</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_Toc30064 </w:instrText>
          </w:r>
          <w:r>
            <w:rPr>
              <w:rFonts w:hint="eastAsia" w:ascii="宋体" w:hAnsi="宋体" w:eastAsia="宋体" w:cs="宋体"/>
              <w:bCs/>
              <w:szCs w:val="24"/>
              <w:lang w:val="en-US" w:eastAsia="zh-CN"/>
            </w:rPr>
            <w:fldChar w:fldCharType="separate"/>
          </w:r>
          <w:r>
            <w:rPr>
              <w:rFonts w:hint="eastAsia"/>
              <w:szCs w:val="24"/>
              <w:lang w:val="en-US" w:eastAsia="zh-CN"/>
            </w:rPr>
            <w:t>2.6.土石方平衡与筑路材料来源</w:t>
          </w:r>
          <w:r>
            <w:tab/>
          </w:r>
          <w:r>
            <w:fldChar w:fldCharType="begin"/>
          </w:r>
          <w:r>
            <w:instrText xml:space="preserve"> PAGEREF _Toc30064 \h </w:instrText>
          </w:r>
          <w:r>
            <w:fldChar w:fldCharType="separate"/>
          </w:r>
          <w:r>
            <w:t>36</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_Toc3284 </w:instrText>
          </w:r>
          <w:r>
            <w:rPr>
              <w:rFonts w:hint="eastAsia" w:ascii="宋体" w:hAnsi="宋体" w:eastAsia="宋体" w:cs="宋体"/>
              <w:bCs/>
              <w:szCs w:val="24"/>
              <w:lang w:val="en-US" w:eastAsia="zh-CN"/>
            </w:rPr>
            <w:fldChar w:fldCharType="separate"/>
          </w:r>
          <w:r>
            <w:rPr>
              <w:rFonts w:hint="eastAsia"/>
              <w:szCs w:val="24"/>
              <w:lang w:val="en-US" w:eastAsia="zh-CN"/>
            </w:rPr>
            <w:t>2.7.临时工程</w:t>
          </w:r>
          <w:r>
            <w:tab/>
          </w:r>
          <w:r>
            <w:fldChar w:fldCharType="begin"/>
          </w:r>
          <w:r>
            <w:instrText xml:space="preserve"> PAGEREF _Toc3284 \h </w:instrText>
          </w:r>
          <w:r>
            <w:fldChar w:fldCharType="separate"/>
          </w:r>
          <w:r>
            <w:t>37</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_Toc19274 </w:instrText>
          </w:r>
          <w:r>
            <w:rPr>
              <w:rFonts w:hint="eastAsia" w:ascii="宋体" w:hAnsi="宋体" w:eastAsia="宋体" w:cs="宋体"/>
              <w:bCs/>
              <w:szCs w:val="24"/>
              <w:lang w:val="en-US" w:eastAsia="zh-CN"/>
            </w:rPr>
            <w:fldChar w:fldCharType="separate"/>
          </w:r>
          <w:r>
            <w:rPr>
              <w:rFonts w:hint="eastAsia"/>
              <w:szCs w:val="24"/>
              <w:lang w:val="en-US" w:eastAsia="zh-CN"/>
            </w:rPr>
            <w:t>2.8.工程占地</w:t>
          </w:r>
          <w:r>
            <w:tab/>
          </w:r>
          <w:r>
            <w:fldChar w:fldCharType="begin"/>
          </w:r>
          <w:r>
            <w:instrText xml:space="preserve"> PAGEREF _Toc19274 \h </w:instrText>
          </w:r>
          <w:r>
            <w:fldChar w:fldCharType="separate"/>
          </w:r>
          <w:r>
            <w:t>38</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_Toc17269 </w:instrText>
          </w:r>
          <w:r>
            <w:rPr>
              <w:rFonts w:hint="eastAsia" w:ascii="宋体" w:hAnsi="宋体" w:eastAsia="宋体" w:cs="宋体"/>
              <w:bCs/>
              <w:szCs w:val="24"/>
              <w:lang w:val="en-US" w:eastAsia="zh-CN"/>
            </w:rPr>
            <w:fldChar w:fldCharType="separate"/>
          </w:r>
          <w:r>
            <w:rPr>
              <w:rFonts w:hint="eastAsia"/>
              <w:szCs w:val="24"/>
              <w:lang w:val="en-US" w:eastAsia="zh-CN"/>
            </w:rPr>
            <w:t>2.9.施工工艺</w:t>
          </w:r>
          <w:r>
            <w:tab/>
          </w:r>
          <w:r>
            <w:fldChar w:fldCharType="begin"/>
          </w:r>
          <w:r>
            <w:instrText xml:space="preserve"> PAGEREF _Toc17269 \h </w:instrText>
          </w:r>
          <w:r>
            <w:fldChar w:fldCharType="separate"/>
          </w:r>
          <w:r>
            <w:t>39</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_Toc15361 </w:instrText>
          </w:r>
          <w:r>
            <w:rPr>
              <w:rFonts w:hint="eastAsia" w:ascii="宋体" w:hAnsi="宋体" w:eastAsia="宋体" w:cs="宋体"/>
              <w:bCs/>
              <w:szCs w:val="24"/>
              <w:lang w:val="en-US" w:eastAsia="zh-CN"/>
            </w:rPr>
            <w:fldChar w:fldCharType="separate"/>
          </w:r>
          <w:r>
            <w:rPr>
              <w:rFonts w:hint="eastAsia"/>
              <w:szCs w:val="24"/>
              <w:lang w:val="en-US" w:eastAsia="zh-CN"/>
            </w:rPr>
            <w:t>2.10.工期安排及投资估算</w:t>
          </w:r>
          <w:r>
            <w:tab/>
          </w:r>
          <w:r>
            <w:fldChar w:fldCharType="begin"/>
          </w:r>
          <w:r>
            <w:instrText xml:space="preserve"> PAGEREF _Toc15361 \h </w:instrText>
          </w:r>
          <w:r>
            <w:fldChar w:fldCharType="separate"/>
          </w:r>
          <w:r>
            <w:t>42</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_Toc31778 </w:instrText>
          </w:r>
          <w:r>
            <w:rPr>
              <w:rFonts w:hint="eastAsia" w:ascii="宋体" w:hAnsi="宋体" w:eastAsia="宋体" w:cs="宋体"/>
              <w:bCs/>
              <w:szCs w:val="24"/>
              <w:lang w:val="en-US" w:eastAsia="zh-CN"/>
            </w:rPr>
            <w:fldChar w:fldCharType="separate"/>
          </w:r>
          <w:r>
            <w:rPr>
              <w:rFonts w:hint="eastAsia"/>
              <w:szCs w:val="24"/>
              <w:lang w:val="en-US" w:eastAsia="zh-CN"/>
            </w:rPr>
            <w:t>2.11.路线比选</w:t>
          </w:r>
          <w:r>
            <w:tab/>
          </w:r>
          <w:r>
            <w:fldChar w:fldCharType="begin"/>
          </w:r>
          <w:r>
            <w:instrText xml:space="preserve"> PAGEREF _Toc31778 \h </w:instrText>
          </w:r>
          <w:r>
            <w:fldChar w:fldCharType="separate"/>
          </w:r>
          <w:r>
            <w:t>42</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_Toc6048 </w:instrText>
          </w:r>
          <w:r>
            <w:rPr>
              <w:rFonts w:hint="eastAsia" w:ascii="宋体" w:hAnsi="宋体" w:eastAsia="宋体" w:cs="宋体"/>
              <w:bCs/>
              <w:szCs w:val="24"/>
              <w:lang w:val="en-US" w:eastAsia="zh-CN"/>
            </w:rPr>
            <w:fldChar w:fldCharType="separate"/>
          </w:r>
          <w:r>
            <w:rPr>
              <w:rFonts w:hint="eastAsia"/>
              <w:szCs w:val="24"/>
              <w:lang w:val="en-US" w:eastAsia="zh-CN"/>
            </w:rPr>
            <w:t>2.12.临时工程选址环境合理性分析</w:t>
          </w:r>
          <w:r>
            <w:tab/>
          </w:r>
          <w:r>
            <w:fldChar w:fldCharType="begin"/>
          </w:r>
          <w:r>
            <w:instrText xml:space="preserve"> PAGEREF _Toc6048 \h </w:instrText>
          </w:r>
          <w:r>
            <w:fldChar w:fldCharType="separate"/>
          </w:r>
          <w:r>
            <w:t>43</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_Toc26096 </w:instrText>
          </w:r>
          <w:r>
            <w:rPr>
              <w:rFonts w:hint="eastAsia" w:ascii="宋体" w:hAnsi="宋体" w:eastAsia="宋体" w:cs="宋体"/>
              <w:bCs/>
              <w:szCs w:val="24"/>
              <w:lang w:val="en-US" w:eastAsia="zh-CN"/>
            </w:rPr>
            <w:fldChar w:fldCharType="separate"/>
          </w:r>
          <w:r>
            <w:rPr>
              <w:rFonts w:hint="eastAsia"/>
              <w:szCs w:val="24"/>
              <w:lang w:val="en-US" w:eastAsia="zh-CN"/>
            </w:rPr>
            <w:t>2.13.环境影响因素及污染源强分析</w:t>
          </w:r>
          <w:r>
            <w:tab/>
          </w:r>
          <w:r>
            <w:fldChar w:fldCharType="begin"/>
          </w:r>
          <w:r>
            <w:instrText xml:space="preserve"> PAGEREF _Toc26096 \h </w:instrText>
          </w:r>
          <w:r>
            <w:fldChar w:fldCharType="separate"/>
          </w:r>
          <w:r>
            <w:t>44</w:t>
          </w:r>
          <w:r>
            <w:fldChar w:fldCharType="end"/>
          </w:r>
          <w:r>
            <w:rPr>
              <w:rFonts w:hint="eastAsia" w:ascii="宋体" w:hAnsi="宋体" w:eastAsia="宋体" w:cs="宋体"/>
              <w:bCs/>
              <w:szCs w:val="24"/>
              <w:lang w:val="en-US" w:eastAsia="zh-CN"/>
            </w:rPr>
            <w:fldChar w:fldCharType="end"/>
          </w:r>
        </w:p>
        <w:p>
          <w:pPr>
            <w:pStyle w:val="14"/>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_Toc15191 </w:instrText>
          </w:r>
          <w:r>
            <w:rPr>
              <w:rFonts w:hint="eastAsia" w:ascii="宋体" w:hAnsi="宋体" w:eastAsia="宋体" w:cs="宋体"/>
              <w:bCs/>
              <w:szCs w:val="24"/>
              <w:lang w:val="en-US" w:eastAsia="zh-CN"/>
            </w:rPr>
            <w:fldChar w:fldCharType="separate"/>
          </w:r>
          <w:r>
            <w:rPr>
              <w:rFonts w:hint="eastAsia"/>
              <w:szCs w:val="24"/>
              <w:lang w:val="en-US" w:eastAsia="zh-CN"/>
            </w:rPr>
            <w:t>3 环境现状调查与评价</w:t>
          </w:r>
          <w:r>
            <w:tab/>
          </w:r>
          <w:r>
            <w:fldChar w:fldCharType="begin"/>
          </w:r>
          <w:r>
            <w:instrText xml:space="preserve"> PAGEREF _Toc15191 \h </w:instrText>
          </w:r>
          <w:r>
            <w:fldChar w:fldCharType="separate"/>
          </w:r>
          <w:r>
            <w:t>58</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_Toc21009 </w:instrText>
          </w:r>
          <w:r>
            <w:rPr>
              <w:rFonts w:hint="eastAsia" w:ascii="宋体" w:hAnsi="宋体" w:eastAsia="宋体" w:cs="宋体"/>
              <w:bCs/>
              <w:szCs w:val="24"/>
              <w:lang w:val="en-US" w:eastAsia="zh-CN"/>
            </w:rPr>
            <w:fldChar w:fldCharType="separate"/>
          </w:r>
          <w:r>
            <w:rPr>
              <w:rFonts w:hint="eastAsia"/>
              <w:szCs w:val="24"/>
              <w:lang w:val="en-US" w:eastAsia="zh-CN"/>
            </w:rPr>
            <w:t>3.1.</w:t>
          </w:r>
          <w:r>
            <w:rPr>
              <w:szCs w:val="24"/>
            </w:rPr>
            <w:t>自然环境概况</w:t>
          </w:r>
          <w:r>
            <w:tab/>
          </w:r>
          <w:r>
            <w:fldChar w:fldCharType="begin"/>
          </w:r>
          <w:r>
            <w:instrText xml:space="preserve"> PAGEREF _Toc21009 \h </w:instrText>
          </w:r>
          <w:r>
            <w:fldChar w:fldCharType="separate"/>
          </w:r>
          <w:r>
            <w:t>58</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_Toc323 </w:instrText>
          </w:r>
          <w:r>
            <w:rPr>
              <w:rFonts w:hint="eastAsia" w:ascii="宋体" w:hAnsi="宋体" w:eastAsia="宋体" w:cs="宋体"/>
              <w:bCs/>
              <w:szCs w:val="24"/>
              <w:lang w:val="en-US" w:eastAsia="zh-CN"/>
            </w:rPr>
            <w:fldChar w:fldCharType="separate"/>
          </w:r>
          <w:r>
            <w:rPr>
              <w:rFonts w:hint="eastAsia"/>
              <w:szCs w:val="24"/>
              <w:lang w:val="en-US" w:eastAsia="zh-CN"/>
            </w:rPr>
            <w:t>3.2.生态环境现状调查与评价</w:t>
          </w:r>
          <w:r>
            <w:tab/>
          </w:r>
          <w:r>
            <w:fldChar w:fldCharType="begin"/>
          </w:r>
          <w:r>
            <w:instrText xml:space="preserve"> PAGEREF _Toc323 \h </w:instrText>
          </w:r>
          <w:r>
            <w:fldChar w:fldCharType="separate"/>
          </w:r>
          <w:r>
            <w:t>62</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_Toc12543 </w:instrText>
          </w:r>
          <w:r>
            <w:rPr>
              <w:rFonts w:hint="eastAsia" w:ascii="宋体" w:hAnsi="宋体" w:eastAsia="宋体" w:cs="宋体"/>
              <w:bCs/>
              <w:szCs w:val="24"/>
              <w:lang w:val="en-US" w:eastAsia="zh-CN"/>
            </w:rPr>
            <w:fldChar w:fldCharType="separate"/>
          </w:r>
          <w:r>
            <w:rPr>
              <w:rFonts w:hint="eastAsia"/>
              <w:szCs w:val="24"/>
              <w:lang w:val="en-US" w:eastAsia="zh-CN"/>
            </w:rPr>
            <w:t>3.3.水环境现状调查与评价</w:t>
          </w:r>
          <w:r>
            <w:tab/>
          </w:r>
          <w:r>
            <w:fldChar w:fldCharType="begin"/>
          </w:r>
          <w:r>
            <w:instrText xml:space="preserve"> PAGEREF _Toc12543 \h </w:instrText>
          </w:r>
          <w:r>
            <w:fldChar w:fldCharType="separate"/>
          </w:r>
          <w:r>
            <w:t>72</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_Toc25473 </w:instrText>
          </w:r>
          <w:r>
            <w:rPr>
              <w:rFonts w:hint="eastAsia" w:ascii="宋体" w:hAnsi="宋体" w:eastAsia="宋体" w:cs="宋体"/>
              <w:bCs/>
              <w:szCs w:val="24"/>
              <w:lang w:val="en-US" w:eastAsia="zh-CN"/>
            </w:rPr>
            <w:fldChar w:fldCharType="separate"/>
          </w:r>
          <w:r>
            <w:rPr>
              <w:rFonts w:hint="eastAsia"/>
              <w:szCs w:val="24"/>
              <w:lang w:val="en-US" w:eastAsia="zh-CN"/>
            </w:rPr>
            <w:t>3.4.环境空气现状调查与评价</w:t>
          </w:r>
          <w:r>
            <w:tab/>
          </w:r>
          <w:r>
            <w:fldChar w:fldCharType="begin"/>
          </w:r>
          <w:r>
            <w:instrText xml:space="preserve"> PAGEREF _Toc25473 \h </w:instrText>
          </w:r>
          <w:r>
            <w:fldChar w:fldCharType="separate"/>
          </w:r>
          <w:r>
            <w:t>74</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_Toc22980 </w:instrText>
          </w:r>
          <w:r>
            <w:rPr>
              <w:rFonts w:hint="eastAsia" w:ascii="宋体" w:hAnsi="宋体" w:eastAsia="宋体" w:cs="宋体"/>
              <w:bCs/>
              <w:szCs w:val="24"/>
              <w:lang w:val="en-US" w:eastAsia="zh-CN"/>
            </w:rPr>
            <w:fldChar w:fldCharType="separate"/>
          </w:r>
          <w:r>
            <w:rPr>
              <w:rFonts w:hint="eastAsia"/>
              <w:szCs w:val="24"/>
              <w:lang w:val="en-US" w:eastAsia="zh-CN"/>
            </w:rPr>
            <w:t>3.5.声环境现状调查与评价</w:t>
          </w:r>
          <w:r>
            <w:tab/>
          </w:r>
          <w:r>
            <w:fldChar w:fldCharType="begin"/>
          </w:r>
          <w:r>
            <w:instrText xml:space="preserve"> PAGEREF _Toc22980 \h </w:instrText>
          </w:r>
          <w:r>
            <w:fldChar w:fldCharType="separate"/>
          </w:r>
          <w:r>
            <w:t>74</w:t>
          </w:r>
          <w:r>
            <w:fldChar w:fldCharType="end"/>
          </w:r>
          <w:r>
            <w:rPr>
              <w:rFonts w:hint="eastAsia" w:ascii="宋体" w:hAnsi="宋体" w:eastAsia="宋体" w:cs="宋体"/>
              <w:bCs/>
              <w:szCs w:val="24"/>
              <w:lang w:val="en-US" w:eastAsia="zh-CN"/>
            </w:rPr>
            <w:fldChar w:fldCharType="end"/>
          </w:r>
        </w:p>
        <w:p>
          <w:pPr>
            <w:pStyle w:val="14"/>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_Toc5332 </w:instrText>
          </w:r>
          <w:r>
            <w:rPr>
              <w:rFonts w:hint="eastAsia" w:ascii="宋体" w:hAnsi="宋体" w:eastAsia="宋体" w:cs="宋体"/>
              <w:bCs/>
              <w:szCs w:val="24"/>
              <w:lang w:val="en-US" w:eastAsia="zh-CN"/>
            </w:rPr>
            <w:fldChar w:fldCharType="separate"/>
          </w:r>
          <w:r>
            <w:rPr>
              <w:rFonts w:hint="eastAsia"/>
              <w:szCs w:val="24"/>
              <w:lang w:val="en-US" w:eastAsia="zh-CN"/>
            </w:rPr>
            <w:t>4 环境影响预测与评价</w:t>
          </w:r>
          <w:r>
            <w:tab/>
          </w:r>
          <w:r>
            <w:fldChar w:fldCharType="begin"/>
          </w:r>
          <w:r>
            <w:instrText xml:space="preserve"> PAGEREF _Toc5332 \h </w:instrText>
          </w:r>
          <w:r>
            <w:fldChar w:fldCharType="separate"/>
          </w:r>
          <w:r>
            <w:t>77</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_Toc29835 </w:instrText>
          </w:r>
          <w:r>
            <w:rPr>
              <w:rFonts w:hint="eastAsia" w:ascii="宋体" w:hAnsi="宋体" w:eastAsia="宋体" w:cs="宋体"/>
              <w:bCs/>
              <w:szCs w:val="24"/>
              <w:lang w:val="en-US" w:eastAsia="zh-CN"/>
            </w:rPr>
            <w:fldChar w:fldCharType="separate"/>
          </w:r>
          <w:r>
            <w:rPr>
              <w:rFonts w:hint="eastAsia"/>
              <w:szCs w:val="24"/>
              <w:lang w:val="en-US" w:eastAsia="zh-CN"/>
            </w:rPr>
            <w:t>4.1.生态环境影响预测与评价</w:t>
          </w:r>
          <w:r>
            <w:tab/>
          </w:r>
          <w:r>
            <w:fldChar w:fldCharType="begin"/>
          </w:r>
          <w:r>
            <w:instrText xml:space="preserve"> PAGEREF _Toc29835 \h </w:instrText>
          </w:r>
          <w:r>
            <w:fldChar w:fldCharType="separate"/>
          </w:r>
          <w:r>
            <w:t>77</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_Toc9053 </w:instrText>
          </w:r>
          <w:r>
            <w:rPr>
              <w:rFonts w:hint="eastAsia" w:ascii="宋体" w:hAnsi="宋体" w:eastAsia="宋体" w:cs="宋体"/>
              <w:bCs/>
              <w:szCs w:val="24"/>
              <w:lang w:val="en-US" w:eastAsia="zh-CN"/>
            </w:rPr>
            <w:fldChar w:fldCharType="separate"/>
          </w:r>
          <w:r>
            <w:rPr>
              <w:rFonts w:hint="eastAsia"/>
              <w:szCs w:val="24"/>
              <w:lang w:val="en-US" w:eastAsia="zh-CN"/>
            </w:rPr>
            <w:t>4.2.水</w:t>
          </w:r>
          <w:r>
            <w:rPr>
              <w:rFonts w:hint="default"/>
              <w:szCs w:val="24"/>
              <w:lang w:val="en-US" w:eastAsia="zh-CN"/>
            </w:rPr>
            <w:t>环境影响</w:t>
          </w:r>
          <w:r>
            <w:rPr>
              <w:rFonts w:hint="eastAsia"/>
              <w:szCs w:val="24"/>
              <w:lang w:val="en-US" w:eastAsia="zh-CN"/>
            </w:rPr>
            <w:t>预测与评价</w:t>
          </w:r>
          <w:r>
            <w:tab/>
          </w:r>
          <w:r>
            <w:fldChar w:fldCharType="begin"/>
          </w:r>
          <w:r>
            <w:instrText xml:space="preserve"> PAGEREF _Toc9053 \h </w:instrText>
          </w:r>
          <w:r>
            <w:fldChar w:fldCharType="separate"/>
          </w:r>
          <w:r>
            <w:t>80</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_Toc27381 </w:instrText>
          </w:r>
          <w:r>
            <w:rPr>
              <w:rFonts w:hint="eastAsia" w:ascii="宋体" w:hAnsi="宋体" w:eastAsia="宋体" w:cs="宋体"/>
              <w:bCs/>
              <w:szCs w:val="24"/>
              <w:lang w:val="en-US" w:eastAsia="zh-CN"/>
            </w:rPr>
            <w:fldChar w:fldCharType="separate"/>
          </w:r>
          <w:r>
            <w:rPr>
              <w:rFonts w:hint="eastAsia"/>
              <w:szCs w:val="24"/>
              <w:lang w:val="en-US" w:eastAsia="zh-CN"/>
            </w:rPr>
            <w:t>4.3.</w:t>
          </w:r>
          <w:r>
            <w:rPr>
              <w:rFonts w:hint="default"/>
              <w:szCs w:val="24"/>
              <w:lang w:val="en-US" w:eastAsia="zh-CN"/>
            </w:rPr>
            <w:t>环境空气影响</w:t>
          </w:r>
          <w:r>
            <w:rPr>
              <w:rFonts w:hint="eastAsia"/>
              <w:szCs w:val="24"/>
              <w:lang w:val="en-US" w:eastAsia="zh-CN"/>
            </w:rPr>
            <w:t>预测与评价</w:t>
          </w:r>
          <w:r>
            <w:tab/>
          </w:r>
          <w:r>
            <w:fldChar w:fldCharType="begin"/>
          </w:r>
          <w:r>
            <w:instrText xml:space="preserve"> PAGEREF _Toc27381 \h </w:instrText>
          </w:r>
          <w:r>
            <w:fldChar w:fldCharType="separate"/>
          </w:r>
          <w:r>
            <w:t>82</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_Toc7736 </w:instrText>
          </w:r>
          <w:r>
            <w:rPr>
              <w:rFonts w:hint="eastAsia" w:ascii="宋体" w:hAnsi="宋体" w:eastAsia="宋体" w:cs="宋体"/>
              <w:bCs/>
              <w:szCs w:val="24"/>
              <w:lang w:val="en-US" w:eastAsia="zh-CN"/>
            </w:rPr>
            <w:fldChar w:fldCharType="separate"/>
          </w:r>
          <w:r>
            <w:rPr>
              <w:rFonts w:hint="default"/>
              <w:szCs w:val="24"/>
              <w:lang w:val="en-US" w:eastAsia="zh-CN"/>
            </w:rPr>
            <w:t>4</w:t>
          </w:r>
          <w:r>
            <w:rPr>
              <w:rFonts w:hint="eastAsia"/>
              <w:szCs w:val="24"/>
              <w:lang w:eastAsia="zh-CN"/>
            </w:rPr>
            <w:t>.</w:t>
          </w:r>
          <w:r>
            <w:rPr>
              <w:rFonts w:hint="eastAsia"/>
              <w:szCs w:val="24"/>
              <w:lang w:val="en-US" w:eastAsia="zh-CN"/>
            </w:rPr>
            <w:t>4.</w:t>
          </w:r>
          <w:r>
            <w:rPr>
              <w:rFonts w:hint="default"/>
              <w:szCs w:val="24"/>
              <w:lang w:eastAsia="zh-CN"/>
            </w:rPr>
            <w:t>声环境影响</w:t>
          </w:r>
          <w:r>
            <w:rPr>
              <w:rFonts w:hint="eastAsia"/>
              <w:szCs w:val="24"/>
              <w:lang w:val="en-US" w:eastAsia="zh-CN"/>
            </w:rPr>
            <w:t>预测与评价</w:t>
          </w:r>
          <w:r>
            <w:tab/>
          </w:r>
          <w:r>
            <w:fldChar w:fldCharType="begin"/>
          </w:r>
          <w:r>
            <w:instrText xml:space="preserve"> PAGEREF _Toc7736 \h </w:instrText>
          </w:r>
          <w:r>
            <w:fldChar w:fldCharType="separate"/>
          </w:r>
          <w:r>
            <w:t>85</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_Toc5049 </w:instrText>
          </w:r>
          <w:r>
            <w:rPr>
              <w:rFonts w:hint="eastAsia" w:ascii="宋体" w:hAnsi="宋体" w:eastAsia="宋体" w:cs="宋体"/>
              <w:bCs/>
              <w:szCs w:val="24"/>
              <w:lang w:val="en-US" w:eastAsia="zh-CN"/>
            </w:rPr>
            <w:fldChar w:fldCharType="separate"/>
          </w:r>
          <w:r>
            <w:rPr>
              <w:rFonts w:hint="default"/>
              <w:szCs w:val="24"/>
              <w:lang w:val="en-US" w:eastAsia="zh-CN"/>
            </w:rPr>
            <w:t>4</w:t>
          </w:r>
          <w:r>
            <w:rPr>
              <w:rFonts w:hint="eastAsia"/>
              <w:szCs w:val="24"/>
              <w:lang w:eastAsia="zh-CN"/>
            </w:rPr>
            <w:t>.</w:t>
          </w:r>
          <w:r>
            <w:rPr>
              <w:rFonts w:hint="eastAsia"/>
              <w:szCs w:val="24"/>
              <w:lang w:val="en-US" w:eastAsia="zh-CN"/>
            </w:rPr>
            <w:t>5.固体废物</w:t>
          </w:r>
          <w:r>
            <w:rPr>
              <w:rFonts w:hint="default"/>
              <w:szCs w:val="24"/>
              <w:lang w:eastAsia="zh-CN"/>
            </w:rPr>
            <w:t>影响</w:t>
          </w:r>
          <w:r>
            <w:rPr>
              <w:rFonts w:hint="eastAsia"/>
              <w:szCs w:val="24"/>
              <w:lang w:val="en-US" w:eastAsia="zh-CN"/>
            </w:rPr>
            <w:t>分析</w:t>
          </w:r>
          <w:r>
            <w:tab/>
          </w:r>
          <w:r>
            <w:fldChar w:fldCharType="begin"/>
          </w:r>
          <w:r>
            <w:instrText xml:space="preserve"> PAGEREF _Toc5049 \h </w:instrText>
          </w:r>
          <w:r>
            <w:fldChar w:fldCharType="separate"/>
          </w:r>
          <w:r>
            <w:t>119</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_Toc15624 </w:instrText>
          </w:r>
          <w:r>
            <w:rPr>
              <w:rFonts w:hint="eastAsia" w:ascii="宋体" w:hAnsi="宋体" w:eastAsia="宋体" w:cs="宋体"/>
              <w:bCs/>
              <w:szCs w:val="24"/>
              <w:lang w:val="en-US" w:eastAsia="zh-CN"/>
            </w:rPr>
            <w:fldChar w:fldCharType="separate"/>
          </w:r>
          <w:r>
            <w:rPr>
              <w:rFonts w:hint="default"/>
              <w:szCs w:val="24"/>
              <w:lang w:val="en-US" w:eastAsia="zh-CN"/>
            </w:rPr>
            <w:t>4</w:t>
          </w:r>
          <w:r>
            <w:rPr>
              <w:rFonts w:hint="eastAsia"/>
              <w:szCs w:val="24"/>
              <w:lang w:eastAsia="zh-CN"/>
            </w:rPr>
            <w:t>.</w:t>
          </w:r>
          <w:r>
            <w:rPr>
              <w:rFonts w:hint="eastAsia"/>
              <w:szCs w:val="24"/>
              <w:lang w:val="en-US" w:eastAsia="zh-CN"/>
            </w:rPr>
            <w:t>6.环境风险</w:t>
          </w:r>
          <w:r>
            <w:rPr>
              <w:rFonts w:hint="default"/>
              <w:szCs w:val="24"/>
              <w:lang w:eastAsia="zh-CN"/>
            </w:rPr>
            <w:t>影响</w:t>
          </w:r>
          <w:r>
            <w:rPr>
              <w:rFonts w:hint="eastAsia"/>
              <w:szCs w:val="24"/>
              <w:lang w:val="en-US" w:eastAsia="zh-CN"/>
            </w:rPr>
            <w:t>分析</w:t>
          </w:r>
          <w:r>
            <w:tab/>
          </w:r>
          <w:r>
            <w:fldChar w:fldCharType="begin"/>
          </w:r>
          <w:r>
            <w:instrText xml:space="preserve"> PAGEREF _Toc15624 \h </w:instrText>
          </w:r>
          <w:r>
            <w:fldChar w:fldCharType="separate"/>
          </w:r>
          <w:r>
            <w:t>120</w:t>
          </w:r>
          <w:r>
            <w:fldChar w:fldCharType="end"/>
          </w:r>
          <w:r>
            <w:rPr>
              <w:rFonts w:hint="eastAsia" w:ascii="宋体" w:hAnsi="宋体" w:eastAsia="宋体" w:cs="宋体"/>
              <w:bCs/>
              <w:szCs w:val="24"/>
              <w:lang w:val="en-US" w:eastAsia="zh-CN"/>
            </w:rPr>
            <w:fldChar w:fldCharType="end"/>
          </w:r>
        </w:p>
        <w:p>
          <w:pPr>
            <w:pStyle w:val="14"/>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_Toc15511 </w:instrText>
          </w:r>
          <w:r>
            <w:rPr>
              <w:rFonts w:hint="eastAsia" w:ascii="宋体" w:hAnsi="宋体" w:eastAsia="宋体" w:cs="宋体"/>
              <w:bCs/>
              <w:szCs w:val="24"/>
              <w:lang w:val="en-US" w:eastAsia="zh-CN"/>
            </w:rPr>
            <w:fldChar w:fldCharType="separate"/>
          </w:r>
          <w:r>
            <w:rPr>
              <w:rFonts w:hint="eastAsia"/>
              <w:szCs w:val="24"/>
              <w:lang w:val="en-US" w:eastAsia="zh-CN"/>
            </w:rPr>
            <w:t>5 环境保护措施及其可行性论证</w:t>
          </w:r>
          <w:r>
            <w:tab/>
          </w:r>
          <w:r>
            <w:fldChar w:fldCharType="begin"/>
          </w:r>
          <w:r>
            <w:instrText xml:space="preserve"> PAGEREF _Toc15511 \h </w:instrText>
          </w:r>
          <w:r>
            <w:fldChar w:fldCharType="separate"/>
          </w:r>
          <w:r>
            <w:t>122</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_Toc16550 </w:instrText>
          </w:r>
          <w:r>
            <w:rPr>
              <w:rFonts w:hint="eastAsia" w:ascii="宋体" w:hAnsi="宋体" w:eastAsia="宋体" w:cs="宋体"/>
              <w:bCs/>
              <w:szCs w:val="24"/>
              <w:lang w:val="en-US" w:eastAsia="zh-CN"/>
            </w:rPr>
            <w:fldChar w:fldCharType="separate"/>
          </w:r>
          <w:r>
            <w:rPr>
              <w:rFonts w:hint="eastAsia"/>
              <w:szCs w:val="24"/>
              <w:lang w:val="en-US" w:eastAsia="zh-CN"/>
            </w:rPr>
            <w:t>5.1.生态环境保护措施</w:t>
          </w:r>
          <w:r>
            <w:tab/>
          </w:r>
          <w:r>
            <w:fldChar w:fldCharType="begin"/>
          </w:r>
          <w:r>
            <w:instrText xml:space="preserve"> PAGEREF _Toc16550 \h </w:instrText>
          </w:r>
          <w:r>
            <w:fldChar w:fldCharType="separate"/>
          </w:r>
          <w:r>
            <w:t>122</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_Toc3249 </w:instrText>
          </w:r>
          <w:r>
            <w:rPr>
              <w:rFonts w:hint="eastAsia" w:ascii="宋体" w:hAnsi="宋体" w:eastAsia="宋体" w:cs="宋体"/>
              <w:bCs/>
              <w:szCs w:val="24"/>
              <w:lang w:val="en-US" w:eastAsia="zh-CN"/>
            </w:rPr>
            <w:fldChar w:fldCharType="separate"/>
          </w:r>
          <w:r>
            <w:rPr>
              <w:rFonts w:hint="eastAsia"/>
              <w:szCs w:val="24"/>
              <w:lang w:val="en-US" w:eastAsia="zh-CN"/>
            </w:rPr>
            <w:t>5.2.大气环境保护措施</w:t>
          </w:r>
          <w:r>
            <w:tab/>
          </w:r>
          <w:r>
            <w:fldChar w:fldCharType="begin"/>
          </w:r>
          <w:r>
            <w:instrText xml:space="preserve"> PAGEREF _Toc3249 \h </w:instrText>
          </w:r>
          <w:r>
            <w:fldChar w:fldCharType="separate"/>
          </w:r>
          <w:r>
            <w:t>123</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_Toc16024 </w:instrText>
          </w:r>
          <w:r>
            <w:rPr>
              <w:rFonts w:hint="eastAsia" w:ascii="宋体" w:hAnsi="宋体" w:eastAsia="宋体" w:cs="宋体"/>
              <w:bCs/>
              <w:szCs w:val="24"/>
              <w:lang w:val="en-US" w:eastAsia="zh-CN"/>
            </w:rPr>
            <w:fldChar w:fldCharType="separate"/>
          </w:r>
          <w:r>
            <w:rPr>
              <w:rFonts w:hint="eastAsia"/>
              <w:szCs w:val="24"/>
              <w:lang w:val="en-US" w:eastAsia="zh-CN"/>
            </w:rPr>
            <w:t>5.3.水环境保护措施</w:t>
          </w:r>
          <w:r>
            <w:tab/>
          </w:r>
          <w:r>
            <w:fldChar w:fldCharType="begin"/>
          </w:r>
          <w:r>
            <w:instrText xml:space="preserve"> PAGEREF _Toc16024 \h </w:instrText>
          </w:r>
          <w:r>
            <w:fldChar w:fldCharType="separate"/>
          </w:r>
          <w:r>
            <w:t>125</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_Toc19130 </w:instrText>
          </w:r>
          <w:r>
            <w:rPr>
              <w:rFonts w:hint="eastAsia" w:ascii="宋体" w:hAnsi="宋体" w:eastAsia="宋体" w:cs="宋体"/>
              <w:bCs/>
              <w:szCs w:val="24"/>
              <w:lang w:val="en-US" w:eastAsia="zh-CN"/>
            </w:rPr>
            <w:fldChar w:fldCharType="separate"/>
          </w:r>
          <w:r>
            <w:rPr>
              <w:rFonts w:hint="eastAsia"/>
              <w:szCs w:val="24"/>
              <w:lang w:val="en-US" w:eastAsia="zh-CN"/>
            </w:rPr>
            <w:t>5.4.声环境保护措施</w:t>
          </w:r>
          <w:r>
            <w:tab/>
          </w:r>
          <w:r>
            <w:fldChar w:fldCharType="begin"/>
          </w:r>
          <w:r>
            <w:instrText xml:space="preserve"> PAGEREF _Toc19130 \h </w:instrText>
          </w:r>
          <w:r>
            <w:fldChar w:fldCharType="separate"/>
          </w:r>
          <w:r>
            <w:t>126</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_Toc21758 </w:instrText>
          </w:r>
          <w:r>
            <w:rPr>
              <w:rFonts w:hint="eastAsia" w:ascii="宋体" w:hAnsi="宋体" w:eastAsia="宋体" w:cs="宋体"/>
              <w:bCs/>
              <w:szCs w:val="24"/>
              <w:lang w:val="en-US" w:eastAsia="zh-CN"/>
            </w:rPr>
            <w:fldChar w:fldCharType="separate"/>
          </w:r>
          <w:r>
            <w:rPr>
              <w:rFonts w:hint="eastAsia"/>
              <w:szCs w:val="24"/>
              <w:lang w:val="en-US" w:eastAsia="zh-CN"/>
            </w:rPr>
            <w:t>5.5.固体废物影响控制措施</w:t>
          </w:r>
          <w:r>
            <w:tab/>
          </w:r>
          <w:r>
            <w:fldChar w:fldCharType="begin"/>
          </w:r>
          <w:r>
            <w:instrText xml:space="preserve"> PAGEREF _Toc21758 \h </w:instrText>
          </w:r>
          <w:r>
            <w:fldChar w:fldCharType="separate"/>
          </w:r>
          <w:r>
            <w:t>133</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_Toc11684 </w:instrText>
          </w:r>
          <w:r>
            <w:rPr>
              <w:rFonts w:hint="eastAsia" w:ascii="宋体" w:hAnsi="宋体" w:eastAsia="宋体" w:cs="宋体"/>
              <w:bCs/>
              <w:szCs w:val="24"/>
              <w:lang w:val="en-US" w:eastAsia="zh-CN"/>
            </w:rPr>
            <w:fldChar w:fldCharType="separate"/>
          </w:r>
          <w:r>
            <w:rPr>
              <w:rFonts w:hint="eastAsia"/>
              <w:szCs w:val="24"/>
              <w:lang w:val="en-US" w:eastAsia="zh-CN"/>
            </w:rPr>
            <w:t>5.6.环境风险事故的防范措施及应急计划</w:t>
          </w:r>
          <w:r>
            <w:tab/>
          </w:r>
          <w:r>
            <w:fldChar w:fldCharType="begin"/>
          </w:r>
          <w:r>
            <w:instrText xml:space="preserve"> PAGEREF _Toc11684 \h </w:instrText>
          </w:r>
          <w:r>
            <w:fldChar w:fldCharType="separate"/>
          </w:r>
          <w:r>
            <w:t>133</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_Toc29454 </w:instrText>
          </w:r>
          <w:r>
            <w:rPr>
              <w:rFonts w:hint="eastAsia" w:ascii="宋体" w:hAnsi="宋体" w:eastAsia="宋体" w:cs="宋体"/>
              <w:bCs/>
              <w:szCs w:val="24"/>
              <w:lang w:val="en-US" w:eastAsia="zh-CN"/>
            </w:rPr>
            <w:fldChar w:fldCharType="separate"/>
          </w:r>
          <w:r>
            <w:rPr>
              <w:rFonts w:hint="eastAsia"/>
              <w:szCs w:val="24"/>
              <w:lang w:val="en-US" w:eastAsia="zh-CN"/>
            </w:rPr>
            <w:t>5.6.2.运营期环境风险事故的防范措施及应急计划</w:t>
          </w:r>
          <w:r>
            <w:tab/>
          </w:r>
          <w:r>
            <w:fldChar w:fldCharType="begin"/>
          </w:r>
          <w:r>
            <w:instrText xml:space="preserve"> PAGEREF _Toc29454 \h </w:instrText>
          </w:r>
          <w:r>
            <w:fldChar w:fldCharType="separate"/>
          </w:r>
          <w:r>
            <w:t>134</w:t>
          </w:r>
          <w:r>
            <w:fldChar w:fldCharType="end"/>
          </w:r>
          <w:r>
            <w:rPr>
              <w:rFonts w:hint="eastAsia" w:ascii="宋体" w:hAnsi="宋体" w:eastAsia="宋体" w:cs="宋体"/>
              <w:bCs/>
              <w:szCs w:val="24"/>
              <w:lang w:val="en-US" w:eastAsia="zh-CN"/>
            </w:rPr>
            <w:fldChar w:fldCharType="end"/>
          </w:r>
        </w:p>
        <w:p>
          <w:pPr>
            <w:pStyle w:val="14"/>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_Toc21424 </w:instrText>
          </w:r>
          <w:r>
            <w:rPr>
              <w:rFonts w:hint="eastAsia" w:ascii="宋体" w:hAnsi="宋体" w:eastAsia="宋体" w:cs="宋体"/>
              <w:bCs/>
              <w:szCs w:val="24"/>
              <w:lang w:val="en-US" w:eastAsia="zh-CN"/>
            </w:rPr>
            <w:fldChar w:fldCharType="separate"/>
          </w:r>
          <w:r>
            <w:rPr>
              <w:rFonts w:hint="eastAsia"/>
              <w:szCs w:val="24"/>
              <w:lang w:val="en-US" w:eastAsia="zh-CN"/>
            </w:rPr>
            <w:t>6. 环境保护措施投资估算</w:t>
          </w:r>
          <w:r>
            <w:tab/>
          </w:r>
          <w:r>
            <w:fldChar w:fldCharType="begin"/>
          </w:r>
          <w:r>
            <w:instrText xml:space="preserve"> PAGEREF _Toc21424 \h </w:instrText>
          </w:r>
          <w:r>
            <w:fldChar w:fldCharType="separate"/>
          </w:r>
          <w:r>
            <w:t>138</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_Toc605 </w:instrText>
          </w:r>
          <w:r>
            <w:rPr>
              <w:rFonts w:hint="eastAsia" w:ascii="宋体" w:hAnsi="宋体" w:eastAsia="宋体" w:cs="宋体"/>
              <w:bCs/>
              <w:szCs w:val="24"/>
              <w:lang w:val="en-US" w:eastAsia="zh-CN"/>
            </w:rPr>
            <w:fldChar w:fldCharType="separate"/>
          </w:r>
          <w:r>
            <w:rPr>
              <w:rFonts w:hint="eastAsia"/>
              <w:szCs w:val="24"/>
              <w:lang w:val="en-US" w:eastAsia="zh-CN"/>
            </w:rPr>
            <w:t>6.1.环保一次性投资</w:t>
          </w:r>
          <w:r>
            <w:tab/>
          </w:r>
          <w:r>
            <w:fldChar w:fldCharType="begin"/>
          </w:r>
          <w:r>
            <w:instrText xml:space="preserve"> PAGEREF _Toc605 \h </w:instrText>
          </w:r>
          <w:r>
            <w:fldChar w:fldCharType="separate"/>
          </w:r>
          <w:r>
            <w:t>138</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_Toc6925 </w:instrText>
          </w:r>
          <w:r>
            <w:rPr>
              <w:rFonts w:hint="eastAsia" w:ascii="宋体" w:hAnsi="宋体" w:eastAsia="宋体" w:cs="宋体"/>
              <w:bCs/>
              <w:szCs w:val="24"/>
              <w:lang w:val="en-US" w:eastAsia="zh-CN"/>
            </w:rPr>
            <w:fldChar w:fldCharType="separate"/>
          </w:r>
          <w:r>
            <w:rPr>
              <w:rFonts w:hint="eastAsia"/>
              <w:szCs w:val="24"/>
              <w:lang w:val="en-US" w:eastAsia="zh-CN"/>
            </w:rPr>
            <w:t>6.2.环保设施年运行维修费用</w:t>
          </w:r>
          <w:r>
            <w:tab/>
          </w:r>
          <w:r>
            <w:fldChar w:fldCharType="begin"/>
          </w:r>
          <w:r>
            <w:instrText xml:space="preserve"> PAGEREF _Toc6925 \h </w:instrText>
          </w:r>
          <w:r>
            <w:fldChar w:fldCharType="separate"/>
          </w:r>
          <w:r>
            <w:t>139</w:t>
          </w:r>
          <w:r>
            <w:fldChar w:fldCharType="end"/>
          </w:r>
          <w:r>
            <w:rPr>
              <w:rFonts w:hint="eastAsia" w:ascii="宋体" w:hAnsi="宋体" w:eastAsia="宋体" w:cs="宋体"/>
              <w:bCs/>
              <w:szCs w:val="24"/>
              <w:lang w:val="en-US" w:eastAsia="zh-CN"/>
            </w:rPr>
            <w:fldChar w:fldCharType="end"/>
          </w:r>
        </w:p>
        <w:p>
          <w:pPr>
            <w:pStyle w:val="14"/>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_Toc24454 </w:instrText>
          </w:r>
          <w:r>
            <w:rPr>
              <w:rFonts w:hint="eastAsia" w:ascii="宋体" w:hAnsi="宋体" w:eastAsia="宋体" w:cs="宋体"/>
              <w:bCs/>
              <w:szCs w:val="24"/>
              <w:lang w:val="en-US" w:eastAsia="zh-CN"/>
            </w:rPr>
            <w:fldChar w:fldCharType="separate"/>
          </w:r>
          <w:r>
            <w:rPr>
              <w:rFonts w:hint="eastAsia"/>
              <w:szCs w:val="24"/>
              <w:lang w:val="en-US" w:eastAsia="zh-CN"/>
            </w:rPr>
            <w:t>7. 环境影响经济损益分析</w:t>
          </w:r>
          <w:r>
            <w:tab/>
          </w:r>
          <w:r>
            <w:fldChar w:fldCharType="begin"/>
          </w:r>
          <w:r>
            <w:instrText xml:space="preserve"> PAGEREF _Toc24454 \h </w:instrText>
          </w:r>
          <w:r>
            <w:fldChar w:fldCharType="separate"/>
          </w:r>
          <w:r>
            <w:t>140</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_Toc12398 </w:instrText>
          </w:r>
          <w:r>
            <w:rPr>
              <w:rFonts w:hint="eastAsia" w:ascii="宋体" w:hAnsi="宋体" w:eastAsia="宋体" w:cs="宋体"/>
              <w:bCs/>
              <w:szCs w:val="24"/>
              <w:lang w:val="en-US" w:eastAsia="zh-CN"/>
            </w:rPr>
            <w:fldChar w:fldCharType="separate"/>
          </w:r>
          <w:r>
            <w:rPr>
              <w:rFonts w:hint="eastAsia"/>
              <w:szCs w:val="24"/>
              <w:lang w:val="en-US" w:eastAsia="zh-CN"/>
            </w:rPr>
            <w:t>7.1.项目带来的环境损失</w:t>
          </w:r>
          <w:r>
            <w:tab/>
          </w:r>
          <w:r>
            <w:fldChar w:fldCharType="begin"/>
          </w:r>
          <w:r>
            <w:instrText xml:space="preserve"> PAGEREF _Toc12398 \h </w:instrText>
          </w:r>
          <w:r>
            <w:fldChar w:fldCharType="separate"/>
          </w:r>
          <w:r>
            <w:t>140</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_Toc17646 </w:instrText>
          </w:r>
          <w:r>
            <w:rPr>
              <w:rFonts w:hint="eastAsia" w:ascii="宋体" w:hAnsi="宋体" w:eastAsia="宋体" w:cs="宋体"/>
              <w:bCs/>
              <w:szCs w:val="24"/>
              <w:lang w:val="en-US" w:eastAsia="zh-CN"/>
            </w:rPr>
            <w:fldChar w:fldCharType="separate"/>
          </w:r>
          <w:r>
            <w:rPr>
              <w:rFonts w:hint="eastAsia"/>
              <w:szCs w:val="24"/>
              <w:lang w:val="en-US" w:eastAsia="zh-CN"/>
            </w:rPr>
            <w:t>7.2.项目带来的环境效益</w:t>
          </w:r>
          <w:r>
            <w:tab/>
          </w:r>
          <w:r>
            <w:fldChar w:fldCharType="begin"/>
          </w:r>
          <w:r>
            <w:instrText xml:space="preserve"> PAGEREF _Toc17646 \h </w:instrText>
          </w:r>
          <w:r>
            <w:fldChar w:fldCharType="separate"/>
          </w:r>
          <w:r>
            <w:t>141</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_Toc2871 </w:instrText>
          </w:r>
          <w:r>
            <w:rPr>
              <w:rFonts w:hint="eastAsia" w:ascii="宋体" w:hAnsi="宋体" w:eastAsia="宋体" w:cs="宋体"/>
              <w:bCs/>
              <w:szCs w:val="24"/>
              <w:lang w:val="en-US" w:eastAsia="zh-CN"/>
            </w:rPr>
            <w:fldChar w:fldCharType="separate"/>
          </w:r>
          <w:r>
            <w:rPr>
              <w:rFonts w:hint="eastAsia"/>
              <w:szCs w:val="24"/>
              <w:lang w:val="en-US" w:eastAsia="zh-CN"/>
            </w:rPr>
            <w:t>7.3.项目环境保护措施经济效益分析</w:t>
          </w:r>
          <w:r>
            <w:tab/>
          </w:r>
          <w:r>
            <w:fldChar w:fldCharType="begin"/>
          </w:r>
          <w:r>
            <w:instrText xml:space="preserve"> PAGEREF _Toc2871 \h </w:instrText>
          </w:r>
          <w:r>
            <w:fldChar w:fldCharType="separate"/>
          </w:r>
          <w:r>
            <w:t>142</w:t>
          </w:r>
          <w:r>
            <w:fldChar w:fldCharType="end"/>
          </w:r>
          <w:r>
            <w:rPr>
              <w:rFonts w:hint="eastAsia" w:ascii="宋体" w:hAnsi="宋体" w:eastAsia="宋体" w:cs="宋体"/>
              <w:bCs/>
              <w:szCs w:val="24"/>
              <w:lang w:val="en-US" w:eastAsia="zh-CN"/>
            </w:rPr>
            <w:fldChar w:fldCharType="end"/>
          </w:r>
        </w:p>
        <w:p>
          <w:pPr>
            <w:pStyle w:val="14"/>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_Toc8369 </w:instrText>
          </w:r>
          <w:r>
            <w:rPr>
              <w:rFonts w:hint="eastAsia" w:ascii="宋体" w:hAnsi="宋体" w:eastAsia="宋体" w:cs="宋体"/>
              <w:bCs/>
              <w:szCs w:val="24"/>
              <w:lang w:val="en-US" w:eastAsia="zh-CN"/>
            </w:rPr>
            <w:fldChar w:fldCharType="separate"/>
          </w:r>
          <w:r>
            <w:rPr>
              <w:rFonts w:hint="eastAsia"/>
              <w:szCs w:val="24"/>
              <w:lang w:val="en-US" w:eastAsia="zh-CN"/>
            </w:rPr>
            <w:t>8. 环境管理与监测计划</w:t>
          </w:r>
          <w:r>
            <w:tab/>
          </w:r>
          <w:r>
            <w:fldChar w:fldCharType="begin"/>
          </w:r>
          <w:r>
            <w:instrText xml:space="preserve"> PAGEREF _Toc8369 \h </w:instrText>
          </w:r>
          <w:r>
            <w:fldChar w:fldCharType="separate"/>
          </w:r>
          <w:r>
            <w:t>143</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_Toc3124 </w:instrText>
          </w:r>
          <w:r>
            <w:rPr>
              <w:rFonts w:hint="eastAsia" w:ascii="宋体" w:hAnsi="宋体" w:eastAsia="宋体" w:cs="宋体"/>
              <w:bCs/>
              <w:szCs w:val="24"/>
              <w:lang w:val="en-US" w:eastAsia="zh-CN"/>
            </w:rPr>
            <w:fldChar w:fldCharType="separate"/>
          </w:r>
          <w:r>
            <w:rPr>
              <w:rFonts w:hint="eastAsia"/>
              <w:szCs w:val="24"/>
              <w:lang w:val="en-US" w:eastAsia="zh-CN"/>
            </w:rPr>
            <w:t>8.1.环境管理</w:t>
          </w:r>
          <w:r>
            <w:tab/>
          </w:r>
          <w:r>
            <w:fldChar w:fldCharType="begin"/>
          </w:r>
          <w:r>
            <w:instrText xml:space="preserve"> PAGEREF _Toc3124 \h </w:instrText>
          </w:r>
          <w:r>
            <w:fldChar w:fldCharType="separate"/>
          </w:r>
          <w:r>
            <w:t>143</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_Toc22275 </w:instrText>
          </w:r>
          <w:r>
            <w:rPr>
              <w:rFonts w:hint="eastAsia" w:ascii="宋体" w:hAnsi="宋体" w:eastAsia="宋体" w:cs="宋体"/>
              <w:bCs/>
              <w:szCs w:val="24"/>
              <w:lang w:val="en-US" w:eastAsia="zh-CN"/>
            </w:rPr>
            <w:fldChar w:fldCharType="separate"/>
          </w:r>
          <w:r>
            <w:rPr>
              <w:rFonts w:hint="eastAsia"/>
              <w:szCs w:val="24"/>
              <w:lang w:val="en-US" w:eastAsia="zh-CN"/>
            </w:rPr>
            <w:t>8.2.环境监测计划</w:t>
          </w:r>
          <w:r>
            <w:tab/>
          </w:r>
          <w:r>
            <w:fldChar w:fldCharType="begin"/>
          </w:r>
          <w:r>
            <w:instrText xml:space="preserve"> PAGEREF _Toc22275 \h </w:instrText>
          </w:r>
          <w:r>
            <w:fldChar w:fldCharType="separate"/>
          </w:r>
          <w:r>
            <w:t>146</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_Toc23295 </w:instrText>
          </w:r>
          <w:r>
            <w:rPr>
              <w:rFonts w:hint="eastAsia" w:ascii="宋体" w:hAnsi="宋体" w:eastAsia="宋体" w:cs="宋体"/>
              <w:bCs/>
              <w:szCs w:val="24"/>
              <w:lang w:val="en-US" w:eastAsia="zh-CN"/>
            </w:rPr>
            <w:fldChar w:fldCharType="separate"/>
          </w:r>
          <w:r>
            <w:rPr>
              <w:rFonts w:hint="eastAsia"/>
              <w:szCs w:val="24"/>
              <w:lang w:val="en-US" w:eastAsia="zh-CN"/>
            </w:rPr>
            <w:t>8.3.环境监理</w:t>
          </w:r>
          <w:r>
            <w:tab/>
          </w:r>
          <w:r>
            <w:fldChar w:fldCharType="begin"/>
          </w:r>
          <w:r>
            <w:instrText xml:space="preserve"> PAGEREF _Toc23295 \h </w:instrText>
          </w:r>
          <w:r>
            <w:fldChar w:fldCharType="separate"/>
          </w:r>
          <w:r>
            <w:t>147</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_Toc15493 </w:instrText>
          </w:r>
          <w:r>
            <w:rPr>
              <w:rFonts w:hint="eastAsia" w:ascii="宋体" w:hAnsi="宋体" w:eastAsia="宋体" w:cs="宋体"/>
              <w:bCs/>
              <w:szCs w:val="24"/>
              <w:lang w:val="en-US" w:eastAsia="zh-CN"/>
            </w:rPr>
            <w:fldChar w:fldCharType="separate"/>
          </w:r>
          <w:r>
            <w:rPr>
              <w:rFonts w:hint="eastAsia"/>
              <w:szCs w:val="24"/>
              <w:lang w:val="en-US" w:eastAsia="zh-CN"/>
            </w:rPr>
            <w:t>8.4.环保竣工验收</w:t>
          </w:r>
          <w:r>
            <w:tab/>
          </w:r>
          <w:r>
            <w:fldChar w:fldCharType="begin"/>
          </w:r>
          <w:r>
            <w:instrText xml:space="preserve"> PAGEREF _Toc15493 \h </w:instrText>
          </w:r>
          <w:r>
            <w:fldChar w:fldCharType="separate"/>
          </w:r>
          <w:r>
            <w:t>149</w:t>
          </w:r>
          <w:r>
            <w:fldChar w:fldCharType="end"/>
          </w:r>
          <w:r>
            <w:rPr>
              <w:rFonts w:hint="eastAsia" w:ascii="宋体" w:hAnsi="宋体" w:eastAsia="宋体" w:cs="宋体"/>
              <w:bCs/>
              <w:szCs w:val="24"/>
              <w:lang w:val="en-US" w:eastAsia="zh-CN"/>
            </w:rPr>
            <w:fldChar w:fldCharType="end"/>
          </w:r>
        </w:p>
        <w:p>
          <w:pPr>
            <w:pStyle w:val="14"/>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_Toc16241 </w:instrText>
          </w:r>
          <w:r>
            <w:rPr>
              <w:rFonts w:hint="eastAsia" w:ascii="宋体" w:hAnsi="宋体" w:eastAsia="宋体" w:cs="宋体"/>
              <w:bCs/>
              <w:szCs w:val="24"/>
              <w:lang w:val="en-US" w:eastAsia="zh-CN"/>
            </w:rPr>
            <w:fldChar w:fldCharType="separate"/>
          </w:r>
          <w:r>
            <w:rPr>
              <w:rFonts w:hint="eastAsia"/>
              <w:szCs w:val="24"/>
              <w:lang w:val="en-US" w:eastAsia="zh-CN"/>
            </w:rPr>
            <w:t>9.环境影响评价结论</w:t>
          </w:r>
          <w:r>
            <w:tab/>
          </w:r>
          <w:r>
            <w:fldChar w:fldCharType="begin"/>
          </w:r>
          <w:r>
            <w:instrText xml:space="preserve"> PAGEREF _Toc16241 \h </w:instrText>
          </w:r>
          <w:r>
            <w:fldChar w:fldCharType="separate"/>
          </w:r>
          <w:r>
            <w:t>151</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_Toc12388 </w:instrText>
          </w:r>
          <w:r>
            <w:rPr>
              <w:rFonts w:hint="eastAsia" w:ascii="宋体" w:hAnsi="宋体" w:eastAsia="宋体" w:cs="宋体"/>
              <w:bCs/>
              <w:szCs w:val="24"/>
              <w:lang w:val="en-US" w:eastAsia="zh-CN"/>
            </w:rPr>
            <w:fldChar w:fldCharType="separate"/>
          </w:r>
          <w:r>
            <w:rPr>
              <w:rFonts w:hint="eastAsia"/>
              <w:szCs w:val="24"/>
              <w:lang w:val="en-US" w:eastAsia="zh-CN"/>
            </w:rPr>
            <w:t>9.1 工程概况</w:t>
          </w:r>
          <w:r>
            <w:tab/>
          </w:r>
          <w:r>
            <w:fldChar w:fldCharType="begin"/>
          </w:r>
          <w:r>
            <w:instrText xml:space="preserve"> PAGEREF _Toc12388 \h </w:instrText>
          </w:r>
          <w:r>
            <w:fldChar w:fldCharType="separate"/>
          </w:r>
          <w:r>
            <w:t>151</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_Toc24539 </w:instrText>
          </w:r>
          <w:r>
            <w:rPr>
              <w:rFonts w:hint="eastAsia" w:ascii="宋体" w:hAnsi="宋体" w:eastAsia="宋体" w:cs="宋体"/>
              <w:bCs/>
              <w:szCs w:val="24"/>
              <w:lang w:val="en-US" w:eastAsia="zh-CN"/>
            </w:rPr>
            <w:fldChar w:fldCharType="separate"/>
          </w:r>
          <w:r>
            <w:rPr>
              <w:rFonts w:hint="eastAsia"/>
              <w:szCs w:val="24"/>
              <w:lang w:val="en-US" w:eastAsia="zh-CN"/>
            </w:rPr>
            <w:t>9.2.相关规划和政策符合性</w:t>
          </w:r>
          <w:r>
            <w:tab/>
          </w:r>
          <w:r>
            <w:fldChar w:fldCharType="begin"/>
          </w:r>
          <w:r>
            <w:instrText xml:space="preserve"> PAGEREF _Toc24539 \h </w:instrText>
          </w:r>
          <w:r>
            <w:fldChar w:fldCharType="separate"/>
          </w:r>
          <w:r>
            <w:t>151</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_Toc15411 </w:instrText>
          </w:r>
          <w:r>
            <w:rPr>
              <w:rFonts w:hint="eastAsia" w:ascii="宋体" w:hAnsi="宋体" w:eastAsia="宋体" w:cs="宋体"/>
              <w:bCs/>
              <w:szCs w:val="24"/>
              <w:lang w:val="en-US" w:eastAsia="zh-CN"/>
            </w:rPr>
            <w:fldChar w:fldCharType="separate"/>
          </w:r>
          <w:r>
            <w:rPr>
              <w:rFonts w:hint="eastAsia"/>
              <w:szCs w:val="24"/>
              <w:lang w:val="en-US" w:eastAsia="zh-CN"/>
            </w:rPr>
            <w:t>9.3.生态环境</w:t>
          </w:r>
          <w:r>
            <w:tab/>
          </w:r>
          <w:r>
            <w:fldChar w:fldCharType="begin"/>
          </w:r>
          <w:r>
            <w:instrText xml:space="preserve"> PAGEREF _Toc15411 \h </w:instrText>
          </w:r>
          <w:r>
            <w:fldChar w:fldCharType="separate"/>
          </w:r>
          <w:r>
            <w:t>153</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_Toc20961 </w:instrText>
          </w:r>
          <w:r>
            <w:rPr>
              <w:rFonts w:hint="eastAsia" w:ascii="宋体" w:hAnsi="宋体" w:eastAsia="宋体" w:cs="宋体"/>
              <w:bCs/>
              <w:szCs w:val="24"/>
              <w:lang w:val="en-US" w:eastAsia="zh-CN"/>
            </w:rPr>
            <w:fldChar w:fldCharType="separate"/>
          </w:r>
          <w:r>
            <w:rPr>
              <w:rFonts w:hint="eastAsia"/>
              <w:szCs w:val="24"/>
              <w:lang w:val="en-US" w:eastAsia="zh-CN"/>
            </w:rPr>
            <w:t>9.4.声环境</w:t>
          </w:r>
          <w:r>
            <w:tab/>
          </w:r>
          <w:r>
            <w:fldChar w:fldCharType="begin"/>
          </w:r>
          <w:r>
            <w:instrText xml:space="preserve"> PAGEREF _Toc20961 \h </w:instrText>
          </w:r>
          <w:r>
            <w:fldChar w:fldCharType="separate"/>
          </w:r>
          <w:r>
            <w:t>153</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_Toc4070 </w:instrText>
          </w:r>
          <w:r>
            <w:rPr>
              <w:rFonts w:hint="eastAsia" w:ascii="宋体" w:hAnsi="宋体" w:eastAsia="宋体" w:cs="宋体"/>
              <w:bCs/>
              <w:szCs w:val="24"/>
              <w:lang w:val="en-US" w:eastAsia="zh-CN"/>
            </w:rPr>
            <w:fldChar w:fldCharType="separate"/>
          </w:r>
          <w:r>
            <w:rPr>
              <w:rFonts w:hint="eastAsia"/>
              <w:szCs w:val="24"/>
              <w:lang w:val="en-US" w:eastAsia="zh-CN"/>
            </w:rPr>
            <w:t>9.5.地表水环境</w:t>
          </w:r>
          <w:r>
            <w:tab/>
          </w:r>
          <w:r>
            <w:fldChar w:fldCharType="begin"/>
          </w:r>
          <w:r>
            <w:instrText xml:space="preserve"> PAGEREF _Toc4070 \h </w:instrText>
          </w:r>
          <w:r>
            <w:fldChar w:fldCharType="separate"/>
          </w:r>
          <w:r>
            <w:t>154</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_Toc6939 </w:instrText>
          </w:r>
          <w:r>
            <w:rPr>
              <w:rFonts w:hint="eastAsia" w:ascii="宋体" w:hAnsi="宋体" w:eastAsia="宋体" w:cs="宋体"/>
              <w:bCs/>
              <w:szCs w:val="24"/>
              <w:lang w:val="en-US" w:eastAsia="zh-CN"/>
            </w:rPr>
            <w:fldChar w:fldCharType="separate"/>
          </w:r>
          <w:r>
            <w:rPr>
              <w:rFonts w:hint="eastAsia"/>
              <w:szCs w:val="24"/>
              <w:lang w:val="en-US" w:eastAsia="zh-CN"/>
            </w:rPr>
            <w:t>9.6.环境空气</w:t>
          </w:r>
          <w:r>
            <w:tab/>
          </w:r>
          <w:r>
            <w:fldChar w:fldCharType="begin"/>
          </w:r>
          <w:r>
            <w:instrText xml:space="preserve"> PAGEREF _Toc6939 \h </w:instrText>
          </w:r>
          <w:r>
            <w:fldChar w:fldCharType="separate"/>
          </w:r>
          <w:r>
            <w:t>155</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_Toc8794 </w:instrText>
          </w:r>
          <w:r>
            <w:rPr>
              <w:rFonts w:hint="eastAsia" w:ascii="宋体" w:hAnsi="宋体" w:eastAsia="宋体" w:cs="宋体"/>
              <w:bCs/>
              <w:szCs w:val="24"/>
              <w:lang w:val="en-US" w:eastAsia="zh-CN"/>
            </w:rPr>
            <w:fldChar w:fldCharType="separate"/>
          </w:r>
          <w:r>
            <w:rPr>
              <w:rFonts w:hint="eastAsia"/>
              <w:szCs w:val="24"/>
              <w:lang w:val="en-US" w:eastAsia="zh-CN"/>
            </w:rPr>
            <w:t>9.7.固体废弃物</w:t>
          </w:r>
          <w:r>
            <w:tab/>
          </w:r>
          <w:r>
            <w:fldChar w:fldCharType="begin"/>
          </w:r>
          <w:r>
            <w:instrText xml:space="preserve"> PAGEREF _Toc8794 \h </w:instrText>
          </w:r>
          <w:r>
            <w:fldChar w:fldCharType="separate"/>
          </w:r>
          <w:r>
            <w:t>156</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_Toc26616 </w:instrText>
          </w:r>
          <w:r>
            <w:rPr>
              <w:rFonts w:hint="eastAsia" w:ascii="宋体" w:hAnsi="宋体" w:eastAsia="宋体" w:cs="宋体"/>
              <w:bCs/>
              <w:szCs w:val="24"/>
              <w:lang w:val="en-US" w:eastAsia="zh-CN"/>
            </w:rPr>
            <w:fldChar w:fldCharType="separate"/>
          </w:r>
          <w:r>
            <w:rPr>
              <w:rFonts w:hint="eastAsia"/>
              <w:szCs w:val="24"/>
              <w:lang w:val="en-US" w:eastAsia="zh-CN"/>
            </w:rPr>
            <w:t>9.8.环境风险</w:t>
          </w:r>
          <w:r>
            <w:tab/>
          </w:r>
          <w:r>
            <w:fldChar w:fldCharType="begin"/>
          </w:r>
          <w:r>
            <w:instrText xml:space="preserve"> PAGEREF _Toc26616 \h </w:instrText>
          </w:r>
          <w:r>
            <w:fldChar w:fldCharType="separate"/>
          </w:r>
          <w:r>
            <w:t>156</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_Toc17216 </w:instrText>
          </w:r>
          <w:r>
            <w:rPr>
              <w:rFonts w:hint="eastAsia" w:ascii="宋体" w:hAnsi="宋体" w:eastAsia="宋体" w:cs="宋体"/>
              <w:bCs/>
              <w:szCs w:val="24"/>
              <w:lang w:val="en-US" w:eastAsia="zh-CN"/>
            </w:rPr>
            <w:fldChar w:fldCharType="separate"/>
          </w:r>
          <w:r>
            <w:rPr>
              <w:rFonts w:hint="eastAsia"/>
              <w:szCs w:val="24"/>
              <w:lang w:val="en-US" w:eastAsia="zh-CN"/>
            </w:rPr>
            <w:t>9.9.环保投资</w:t>
          </w:r>
          <w:r>
            <w:tab/>
          </w:r>
          <w:r>
            <w:fldChar w:fldCharType="begin"/>
          </w:r>
          <w:r>
            <w:instrText xml:space="preserve"> PAGEREF _Toc17216 \h </w:instrText>
          </w:r>
          <w:r>
            <w:fldChar w:fldCharType="separate"/>
          </w:r>
          <w:r>
            <w:t>156</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_Toc12911 </w:instrText>
          </w:r>
          <w:r>
            <w:rPr>
              <w:rFonts w:hint="eastAsia" w:ascii="宋体" w:hAnsi="宋体" w:eastAsia="宋体" w:cs="宋体"/>
              <w:bCs/>
              <w:szCs w:val="24"/>
              <w:lang w:val="en-US" w:eastAsia="zh-CN"/>
            </w:rPr>
            <w:fldChar w:fldCharType="separate"/>
          </w:r>
          <w:r>
            <w:rPr>
              <w:rFonts w:hint="eastAsia"/>
              <w:szCs w:val="24"/>
              <w:lang w:val="en-US" w:eastAsia="zh-CN"/>
            </w:rPr>
            <w:t>9.10.环境管理与环境监测</w:t>
          </w:r>
          <w:r>
            <w:tab/>
          </w:r>
          <w:r>
            <w:fldChar w:fldCharType="begin"/>
          </w:r>
          <w:r>
            <w:instrText xml:space="preserve"> PAGEREF _Toc12911 \h </w:instrText>
          </w:r>
          <w:r>
            <w:fldChar w:fldCharType="separate"/>
          </w:r>
          <w:r>
            <w:t>157</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_Toc4474 </w:instrText>
          </w:r>
          <w:r>
            <w:rPr>
              <w:rFonts w:hint="eastAsia" w:ascii="宋体" w:hAnsi="宋体" w:eastAsia="宋体" w:cs="宋体"/>
              <w:bCs/>
              <w:szCs w:val="24"/>
              <w:lang w:val="en-US" w:eastAsia="zh-CN"/>
            </w:rPr>
            <w:fldChar w:fldCharType="separate"/>
          </w:r>
          <w:r>
            <w:rPr>
              <w:rFonts w:hint="eastAsia"/>
              <w:szCs w:val="24"/>
              <w:lang w:val="en-US" w:eastAsia="zh-CN"/>
            </w:rPr>
            <w:t>9.11 公众参与</w:t>
          </w:r>
          <w:r>
            <w:tab/>
          </w:r>
          <w:r>
            <w:fldChar w:fldCharType="begin"/>
          </w:r>
          <w:r>
            <w:instrText xml:space="preserve"> PAGEREF _Toc4474 \h </w:instrText>
          </w:r>
          <w:r>
            <w:fldChar w:fldCharType="separate"/>
          </w:r>
          <w:r>
            <w:t>157</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_Toc8067 </w:instrText>
          </w:r>
          <w:r>
            <w:rPr>
              <w:rFonts w:hint="eastAsia" w:ascii="宋体" w:hAnsi="宋体" w:eastAsia="宋体" w:cs="宋体"/>
              <w:bCs/>
              <w:szCs w:val="24"/>
              <w:lang w:val="en-US" w:eastAsia="zh-CN"/>
            </w:rPr>
            <w:fldChar w:fldCharType="separate"/>
          </w:r>
          <w:r>
            <w:rPr>
              <w:rFonts w:hint="eastAsia"/>
              <w:szCs w:val="24"/>
              <w:lang w:val="en-US" w:eastAsia="zh-CN"/>
            </w:rPr>
            <w:t>9.12 环境影响评价结论</w:t>
          </w:r>
          <w:r>
            <w:tab/>
          </w:r>
          <w:r>
            <w:fldChar w:fldCharType="begin"/>
          </w:r>
          <w:r>
            <w:instrText xml:space="preserve"> PAGEREF _Toc8067 \h </w:instrText>
          </w:r>
          <w:r>
            <w:fldChar w:fldCharType="separate"/>
          </w:r>
          <w:r>
            <w:t>157</w:t>
          </w:r>
          <w:r>
            <w:fldChar w:fldCharType="end"/>
          </w:r>
          <w:r>
            <w:rPr>
              <w:rFonts w:hint="eastAsia" w:ascii="宋体" w:hAnsi="宋体" w:eastAsia="宋体" w:cs="宋体"/>
              <w:bCs/>
              <w:szCs w:val="24"/>
              <w:lang w:val="en-US" w:eastAsia="zh-CN"/>
            </w:rPr>
            <w:fldChar w:fldCharType="end"/>
          </w:r>
        </w:p>
        <w:p>
          <w:pPr>
            <w:pStyle w:val="15"/>
            <w:tabs>
              <w:tab w:val="right" w:leader="dot" w:pos="9510"/>
            </w:tabs>
          </w:pPr>
          <w:r>
            <w:rPr>
              <w:rFonts w:hint="eastAsia" w:ascii="宋体" w:hAnsi="宋体" w:eastAsia="宋体" w:cs="宋体"/>
              <w:bCs/>
              <w:szCs w:val="24"/>
              <w:lang w:val="en-US" w:eastAsia="zh-CN"/>
            </w:rPr>
            <w:fldChar w:fldCharType="begin"/>
          </w:r>
          <w:r>
            <w:rPr>
              <w:rFonts w:hint="eastAsia" w:ascii="宋体" w:hAnsi="宋体" w:eastAsia="宋体" w:cs="宋体"/>
              <w:bCs/>
              <w:szCs w:val="24"/>
              <w:lang w:val="en-US" w:eastAsia="zh-CN"/>
            </w:rPr>
            <w:instrText xml:space="preserve"> HYPERLINK \l _Toc8475 </w:instrText>
          </w:r>
          <w:r>
            <w:rPr>
              <w:rFonts w:hint="eastAsia" w:ascii="宋体" w:hAnsi="宋体" w:eastAsia="宋体" w:cs="宋体"/>
              <w:bCs/>
              <w:szCs w:val="24"/>
              <w:lang w:val="en-US" w:eastAsia="zh-CN"/>
            </w:rPr>
            <w:fldChar w:fldCharType="separate"/>
          </w:r>
          <w:r>
            <w:rPr>
              <w:rFonts w:hint="eastAsia"/>
              <w:szCs w:val="24"/>
              <w:lang w:val="en-US" w:eastAsia="zh-CN"/>
            </w:rPr>
            <w:t>9.13建议</w:t>
          </w:r>
          <w:r>
            <w:tab/>
          </w:r>
          <w:r>
            <w:fldChar w:fldCharType="begin"/>
          </w:r>
          <w:r>
            <w:instrText xml:space="preserve"> PAGEREF _Toc8475 \h </w:instrText>
          </w:r>
          <w:r>
            <w:fldChar w:fldCharType="separate"/>
          </w:r>
          <w:r>
            <w:t>157</w:t>
          </w:r>
          <w:r>
            <w:fldChar w:fldCharType="end"/>
          </w:r>
          <w:r>
            <w:rPr>
              <w:rFonts w:hint="eastAsia" w:ascii="宋体" w:hAnsi="宋体" w:eastAsia="宋体" w:cs="宋体"/>
              <w:bCs/>
              <w:szCs w:val="24"/>
              <w:lang w:val="en-US" w:eastAsia="zh-CN"/>
            </w:rPr>
            <w:fldChar w:fldCharType="end"/>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0" w:lineRule="atLeast"/>
            <w:ind w:left="0" w:leftChars="0" w:firstLine="480"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Cs/>
              <w:szCs w:val="24"/>
              <w:lang w:val="en-US" w:eastAsia="zh-CN"/>
            </w:rPr>
            <w:fldChar w:fldCharType="end"/>
          </w:r>
        </w:p>
      </w:sdtContent>
    </w:sdt>
    <w:p>
      <w:pPr>
        <w:keepLines w:val="0"/>
        <w:pageBreakBefore w:val="0"/>
        <w:widowControl/>
        <w:numPr>
          <w:ilvl w:val="0"/>
          <w:numId w:val="0"/>
        </w:numPr>
        <w:kinsoku/>
        <w:wordWrap/>
        <w:overflowPunct/>
        <w:topLinePunct w:val="0"/>
        <w:bidi w:val="0"/>
        <w:adjustRightInd w:val="0"/>
        <w:snapToGrid w:val="0"/>
        <w:spacing w:line="360" w:lineRule="auto"/>
        <w:ind w:firstLine="482" w:firstLineChars="200"/>
        <w:jc w:val="center"/>
        <w:textAlignment w:val="auto"/>
        <w:rPr>
          <w:rFonts w:hint="eastAsia" w:ascii="宋体" w:hAnsi="宋体" w:eastAsia="宋体" w:cs="宋体"/>
          <w:b/>
          <w:bCs/>
          <w:sz w:val="24"/>
          <w:szCs w:val="24"/>
          <w:lang w:val="en-US" w:eastAsia="zh-CN"/>
        </w:rPr>
      </w:pPr>
    </w:p>
    <w:p>
      <w:pPr>
        <w:keepLines w:val="0"/>
        <w:pageBreakBefore w:val="0"/>
        <w:widowControl/>
        <w:numPr>
          <w:ilvl w:val="0"/>
          <w:numId w:val="0"/>
        </w:numPr>
        <w:kinsoku/>
        <w:wordWrap/>
        <w:overflowPunct/>
        <w:topLinePunct w:val="0"/>
        <w:bidi w:val="0"/>
        <w:adjustRightInd w:val="0"/>
        <w:snapToGrid w:val="0"/>
        <w:spacing w:line="360" w:lineRule="auto"/>
        <w:ind w:firstLine="482" w:firstLineChars="200"/>
        <w:jc w:val="center"/>
        <w:textAlignment w:val="auto"/>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2"/>
        <w:rPr>
          <w:rFonts w:hint="eastAsia"/>
          <w:lang w:val="en-US" w:eastAsia="zh-CN"/>
        </w:rPr>
      </w:pPr>
    </w:p>
    <w:p>
      <w:pPr>
        <w:rPr>
          <w:rFonts w:hint="eastAsia"/>
          <w:lang w:val="en-US" w:eastAsia="zh-CN"/>
        </w:rPr>
      </w:pPr>
    </w:p>
    <w:p>
      <w:pPr>
        <w:bidi w:val="0"/>
        <w:spacing w:line="360" w:lineRule="auto"/>
        <w:rPr>
          <w:rFonts w:hint="default" w:ascii="Times New Roman" w:hAnsi="Times New Roman" w:cs="Times New Roman"/>
        </w:rPr>
      </w:pPr>
      <w:r>
        <w:rPr>
          <w:rFonts w:hint="default" w:ascii="Times New Roman" w:hAnsi="Times New Roman" w:cs="Times New Roman"/>
        </w:rPr>
        <w:t>附表：</w:t>
      </w:r>
    </w:p>
    <w:p>
      <w:pPr>
        <w:bidi w:val="0"/>
        <w:spacing w:line="360" w:lineRule="auto"/>
        <w:rPr>
          <w:rFonts w:hint="default" w:ascii="Times New Roman" w:hAnsi="Times New Roman" w:cs="Times New Roman"/>
        </w:rPr>
      </w:pPr>
      <w:r>
        <w:rPr>
          <w:rFonts w:hint="default" w:ascii="Times New Roman" w:hAnsi="Times New Roman" w:cs="Times New Roman"/>
        </w:rPr>
        <w:t>建设项目环境影响报告书审批基础信息表</w:t>
      </w:r>
    </w:p>
    <w:p>
      <w:pPr>
        <w:bidi w:val="0"/>
        <w:spacing w:line="360" w:lineRule="auto"/>
        <w:rPr>
          <w:rFonts w:hint="default" w:ascii="Times New Roman" w:hAnsi="Times New Roman" w:cs="Times New Roman"/>
        </w:rPr>
      </w:pPr>
    </w:p>
    <w:p>
      <w:pPr>
        <w:pStyle w:val="2"/>
        <w:spacing w:line="360" w:lineRule="auto"/>
        <w:rPr>
          <w:rFonts w:hint="default" w:ascii="Times New Roman" w:hAnsi="Times New Roman" w:cs="Times New Roman"/>
        </w:rPr>
      </w:pPr>
    </w:p>
    <w:p>
      <w:pPr>
        <w:bidi w:val="0"/>
        <w:spacing w:line="360" w:lineRule="auto"/>
        <w:rPr>
          <w:rFonts w:hint="default" w:ascii="Times New Roman" w:hAnsi="Times New Roman" w:cs="Times New Roman"/>
        </w:rPr>
      </w:pPr>
      <w:r>
        <w:rPr>
          <w:rFonts w:hint="default" w:ascii="Times New Roman" w:hAnsi="Times New Roman" w:cs="Times New Roman"/>
        </w:rPr>
        <w:t>附图：</w:t>
      </w:r>
    </w:p>
    <w:p>
      <w:pPr>
        <w:bidi w:val="0"/>
        <w:spacing w:line="360" w:lineRule="auto"/>
        <w:rPr>
          <w:rFonts w:hint="default" w:ascii="Times New Roman" w:hAnsi="Times New Roman" w:cs="Times New Roman"/>
        </w:rPr>
      </w:pPr>
      <w:r>
        <w:rPr>
          <w:rFonts w:hint="default" w:ascii="Times New Roman" w:hAnsi="Times New Roman" w:cs="Times New Roman"/>
        </w:rPr>
        <w:t>附图1：项目地理位置图</w:t>
      </w:r>
    </w:p>
    <w:p>
      <w:pPr>
        <w:bidi w:val="0"/>
        <w:spacing w:line="360" w:lineRule="auto"/>
        <w:rPr>
          <w:rFonts w:hint="default" w:ascii="Times New Roman" w:hAnsi="Times New Roman" w:cs="Times New Roman"/>
        </w:rPr>
      </w:pPr>
      <w:r>
        <w:rPr>
          <w:rFonts w:hint="default" w:ascii="Times New Roman" w:hAnsi="Times New Roman" w:cs="Times New Roman"/>
        </w:rPr>
        <w:t>附图</w:t>
      </w:r>
      <w:r>
        <w:rPr>
          <w:rFonts w:hint="default" w:ascii="Times New Roman" w:hAnsi="Times New Roman" w:cs="Times New Roman"/>
          <w:lang w:val="en-US" w:eastAsia="zh-CN"/>
        </w:rPr>
        <w:t>2</w:t>
      </w:r>
      <w:r>
        <w:rPr>
          <w:rFonts w:hint="default" w:ascii="Times New Roman" w:hAnsi="Times New Roman" w:cs="Times New Roman"/>
        </w:rPr>
        <w:t>：监测布点图</w:t>
      </w:r>
    </w:p>
    <w:p>
      <w:pPr>
        <w:bidi w:val="0"/>
        <w:spacing w:line="360" w:lineRule="auto"/>
        <w:rPr>
          <w:rFonts w:hint="default" w:ascii="Times New Roman" w:hAnsi="Times New Roman" w:eastAsia="宋体" w:cs="Times New Roman"/>
          <w:lang w:val="en-US" w:eastAsia="zh-CN"/>
        </w:rPr>
      </w:pPr>
      <w:r>
        <w:rPr>
          <w:rFonts w:hint="default" w:ascii="Times New Roman" w:hAnsi="Times New Roman" w:cs="Times New Roman"/>
        </w:rPr>
        <w:t>附图</w:t>
      </w: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val="en-US" w:eastAsia="zh-CN"/>
        </w:rPr>
        <w:t>外环境关系</w:t>
      </w:r>
      <w:r>
        <w:rPr>
          <w:rFonts w:hint="eastAsia" w:ascii="Times New Roman" w:hAnsi="Times New Roman" w:cs="Times New Roman"/>
          <w:lang w:val="en-US" w:eastAsia="zh-CN"/>
        </w:rPr>
        <w:t>总</w:t>
      </w:r>
      <w:r>
        <w:rPr>
          <w:rFonts w:hint="default" w:ascii="Times New Roman" w:hAnsi="Times New Roman" w:cs="Times New Roman"/>
          <w:lang w:val="en-US" w:eastAsia="zh-CN"/>
        </w:rPr>
        <w:t>图</w:t>
      </w:r>
    </w:p>
    <w:p>
      <w:pPr>
        <w:bidi w:val="0"/>
        <w:spacing w:line="360" w:lineRule="auto"/>
        <w:rPr>
          <w:rFonts w:hint="default" w:ascii="Times New Roman" w:hAnsi="Times New Roman" w:eastAsia="宋体" w:cs="Times New Roman"/>
          <w:lang w:val="en-US" w:eastAsia="zh-CN"/>
        </w:rPr>
      </w:pPr>
      <w:r>
        <w:rPr>
          <w:rFonts w:hint="eastAsia" w:ascii="Times New Roman" w:hAnsi="Times New Roman" w:cs="Times New Roman"/>
          <w:lang w:val="en-US" w:eastAsia="zh-CN"/>
        </w:rPr>
        <w:t>附图3-1、3-2、3-3：外环境关系图分幅（近距离外环境关系图）</w:t>
      </w:r>
    </w:p>
    <w:p>
      <w:pPr>
        <w:bidi w:val="0"/>
        <w:spacing w:line="360" w:lineRule="auto"/>
        <w:rPr>
          <w:rFonts w:hint="default" w:ascii="Times New Roman" w:hAnsi="Times New Roman" w:cs="Times New Roman"/>
        </w:rPr>
      </w:pPr>
      <w:r>
        <w:rPr>
          <w:rFonts w:hint="default" w:ascii="Times New Roman" w:hAnsi="Times New Roman" w:cs="Times New Roman"/>
        </w:rPr>
        <w:t>附图</w:t>
      </w:r>
      <w:r>
        <w:rPr>
          <w:rFonts w:hint="default" w:ascii="Times New Roman" w:hAnsi="Times New Roman" w:cs="Times New Roman"/>
          <w:lang w:val="en-US" w:eastAsia="zh-CN"/>
        </w:rPr>
        <w:t>4</w:t>
      </w:r>
      <w:r>
        <w:rPr>
          <w:rFonts w:hint="default" w:ascii="Times New Roman" w:hAnsi="Times New Roman" w:cs="Times New Roman"/>
        </w:rPr>
        <w:t>：总平面</w:t>
      </w:r>
      <w:r>
        <w:rPr>
          <w:rFonts w:hint="default" w:ascii="Times New Roman" w:hAnsi="Times New Roman" w:cs="Times New Roman"/>
          <w:lang w:eastAsia="zh-CN"/>
        </w:rPr>
        <w:t>布置</w:t>
      </w:r>
      <w:r>
        <w:rPr>
          <w:rFonts w:hint="default" w:ascii="Times New Roman" w:hAnsi="Times New Roman" w:cs="Times New Roman"/>
        </w:rPr>
        <w:t>图</w:t>
      </w:r>
    </w:p>
    <w:p>
      <w:pPr>
        <w:bidi w:val="0"/>
        <w:spacing w:line="360" w:lineRule="auto"/>
        <w:rPr>
          <w:rFonts w:hint="default" w:ascii="Times New Roman" w:hAnsi="Times New Roman" w:eastAsia="宋体" w:cs="Times New Roman"/>
          <w:lang w:val="en-US" w:eastAsia="zh-CN"/>
        </w:rPr>
      </w:pPr>
      <w:r>
        <w:rPr>
          <w:rFonts w:hint="eastAsia" w:ascii="Times New Roman" w:hAnsi="Times New Roman" w:cs="Times New Roman"/>
          <w:lang w:val="en-US" w:eastAsia="zh-CN"/>
        </w:rPr>
        <w:t>附图4-1至4-8：平面布置分幅图</w:t>
      </w:r>
    </w:p>
    <w:p>
      <w:pPr>
        <w:bidi w:val="0"/>
        <w:spacing w:line="360" w:lineRule="auto"/>
        <w:rPr>
          <w:rFonts w:hint="default" w:ascii="Times New Roman" w:hAnsi="Times New Roman" w:cs="Times New Roman"/>
        </w:rPr>
      </w:pPr>
      <w:r>
        <w:rPr>
          <w:rFonts w:hint="default" w:ascii="Times New Roman" w:hAnsi="Times New Roman" w:cs="Times New Roman"/>
        </w:rPr>
        <w:t>附图</w:t>
      </w:r>
      <w:r>
        <w:rPr>
          <w:rFonts w:hint="default" w:ascii="Times New Roman" w:hAnsi="Times New Roman" w:cs="Times New Roman"/>
          <w:lang w:val="en-US" w:eastAsia="zh-CN"/>
        </w:rPr>
        <w:t>5</w:t>
      </w:r>
      <w:r>
        <w:rPr>
          <w:rFonts w:hint="default" w:ascii="Times New Roman" w:hAnsi="Times New Roman" w:cs="Times New Roman"/>
        </w:rPr>
        <w:t>：项目</w:t>
      </w:r>
      <w:r>
        <w:rPr>
          <w:rFonts w:hint="default" w:ascii="Times New Roman" w:hAnsi="Times New Roman" w:cs="Times New Roman"/>
          <w:lang w:eastAsia="zh-CN"/>
        </w:rPr>
        <w:t>区域</w:t>
      </w:r>
      <w:r>
        <w:rPr>
          <w:rFonts w:hint="default" w:ascii="Times New Roman" w:hAnsi="Times New Roman" w:cs="Times New Roman"/>
        </w:rPr>
        <w:t>水系图</w:t>
      </w:r>
    </w:p>
    <w:p>
      <w:pPr>
        <w:bidi w:val="0"/>
        <w:spacing w:line="360" w:lineRule="auto"/>
        <w:rPr>
          <w:rFonts w:hint="default" w:ascii="Times New Roman" w:hAnsi="Times New Roman" w:eastAsia="宋体" w:cs="Times New Roman"/>
          <w:lang w:val="en-US" w:eastAsia="zh-CN"/>
        </w:rPr>
      </w:pPr>
      <w:r>
        <w:rPr>
          <w:rFonts w:hint="default" w:ascii="Times New Roman" w:hAnsi="Times New Roman" w:cs="Times New Roman"/>
        </w:rPr>
        <w:t>附图</w:t>
      </w:r>
      <w:r>
        <w:rPr>
          <w:rFonts w:hint="eastAsia" w:ascii="Times New Roman" w:hAnsi="Times New Roman" w:cs="Times New Roman"/>
          <w:lang w:val="en-US" w:eastAsia="zh-CN"/>
        </w:rPr>
        <w:t>6-1</w:t>
      </w:r>
      <w:r>
        <w:rPr>
          <w:rFonts w:hint="default" w:ascii="Times New Roman" w:hAnsi="Times New Roman" w:cs="Times New Roman"/>
        </w:rPr>
        <w:t>：</w:t>
      </w:r>
      <w:r>
        <w:rPr>
          <w:rFonts w:hint="eastAsia" w:ascii="Times New Roman" w:hAnsi="Times New Roman" w:cs="Times New Roman"/>
          <w:lang w:val="en-US" w:eastAsia="zh-CN"/>
        </w:rPr>
        <w:t>临时沉砂池平面图</w:t>
      </w:r>
    </w:p>
    <w:p>
      <w:pPr>
        <w:bidi w:val="0"/>
        <w:spacing w:line="360" w:lineRule="auto"/>
        <w:rPr>
          <w:rFonts w:hint="default" w:ascii="Times New Roman" w:hAnsi="Times New Roman" w:cs="Times New Roman"/>
        </w:rPr>
      </w:pPr>
      <w:r>
        <w:rPr>
          <w:rFonts w:hint="default" w:ascii="Times New Roman" w:hAnsi="Times New Roman" w:cs="Times New Roman"/>
        </w:rPr>
        <w:t>附图</w:t>
      </w:r>
      <w:r>
        <w:rPr>
          <w:rFonts w:hint="eastAsia" w:ascii="Times New Roman" w:hAnsi="Times New Roman" w:cs="Times New Roman"/>
          <w:lang w:val="en-US" w:eastAsia="zh-CN"/>
        </w:rPr>
        <w:t>6-2</w:t>
      </w:r>
      <w:r>
        <w:rPr>
          <w:rFonts w:hint="default" w:ascii="Times New Roman" w:hAnsi="Times New Roman" w:cs="Times New Roman"/>
        </w:rPr>
        <w:t>：</w:t>
      </w:r>
      <w:r>
        <w:rPr>
          <w:rFonts w:hint="eastAsia" w:ascii="Times New Roman" w:hAnsi="Times New Roman" w:cs="Times New Roman"/>
          <w:lang w:val="en-US" w:eastAsia="zh-CN"/>
        </w:rPr>
        <w:t>施工场地平面布置示意</w:t>
      </w:r>
      <w:r>
        <w:rPr>
          <w:rFonts w:hint="default" w:ascii="Times New Roman" w:hAnsi="Times New Roman" w:cs="Times New Roman"/>
        </w:rPr>
        <w:t>图</w:t>
      </w:r>
    </w:p>
    <w:p>
      <w:pPr>
        <w:bidi w:val="0"/>
        <w:spacing w:line="360" w:lineRule="auto"/>
        <w:rPr>
          <w:rFonts w:hint="default" w:ascii="Times New Roman" w:hAnsi="Times New Roman" w:cs="Times New Roman"/>
        </w:rPr>
      </w:pPr>
      <w:r>
        <w:rPr>
          <w:rFonts w:hint="default" w:ascii="Times New Roman" w:hAnsi="Times New Roman" w:cs="Times New Roman"/>
        </w:rPr>
        <w:t>附图</w:t>
      </w:r>
      <w:r>
        <w:rPr>
          <w:rFonts w:hint="eastAsia" w:ascii="Times New Roman" w:hAnsi="Times New Roman" w:cs="Times New Roman"/>
          <w:lang w:val="en-US" w:eastAsia="zh-CN"/>
        </w:rPr>
        <w:t>6-3</w:t>
      </w:r>
      <w:r>
        <w:rPr>
          <w:rFonts w:hint="default" w:ascii="Times New Roman" w:hAnsi="Times New Roman" w:cs="Times New Roman"/>
        </w:rPr>
        <w:t>：</w:t>
      </w:r>
      <w:r>
        <w:rPr>
          <w:rFonts w:hint="eastAsia" w:ascii="Times New Roman" w:hAnsi="Times New Roman" w:cs="Times New Roman"/>
          <w:lang w:val="en-US" w:eastAsia="zh-CN"/>
        </w:rPr>
        <w:t>表土堆场平面布置</w:t>
      </w:r>
      <w:r>
        <w:rPr>
          <w:rFonts w:hint="default" w:ascii="Times New Roman" w:hAnsi="Times New Roman" w:cs="Times New Roman"/>
        </w:rPr>
        <w:t>图</w:t>
      </w:r>
    </w:p>
    <w:p>
      <w:pPr>
        <w:bidi w:val="0"/>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pStyle w:val="2"/>
        <w:spacing w:line="360" w:lineRule="auto"/>
        <w:rPr>
          <w:rFonts w:hint="default" w:ascii="Times New Roman" w:hAnsi="Times New Roman" w:cs="Times New Roman"/>
        </w:rPr>
      </w:pPr>
    </w:p>
    <w:p>
      <w:pPr>
        <w:bidi w:val="0"/>
        <w:spacing w:line="360" w:lineRule="auto"/>
        <w:rPr>
          <w:rFonts w:hint="default" w:ascii="Times New Roman" w:hAnsi="Times New Roman" w:cs="Times New Roman"/>
        </w:rPr>
      </w:pPr>
      <w:r>
        <w:rPr>
          <w:rFonts w:hint="default" w:ascii="Times New Roman" w:hAnsi="Times New Roman" w:cs="Times New Roman"/>
        </w:rPr>
        <w:t>附件：</w:t>
      </w:r>
    </w:p>
    <w:p>
      <w:pPr>
        <w:bidi w:val="0"/>
        <w:spacing w:line="360" w:lineRule="auto"/>
        <w:rPr>
          <w:rFonts w:hint="default" w:ascii="Times New Roman" w:hAnsi="Times New Roman" w:eastAsia="宋体" w:cs="Times New Roman"/>
          <w:lang w:val="en-US" w:eastAsia="zh-CN"/>
        </w:rPr>
      </w:pPr>
      <w:r>
        <w:rPr>
          <w:rFonts w:hint="default" w:ascii="Times New Roman" w:hAnsi="Times New Roman" w:cs="Times New Roman"/>
        </w:rPr>
        <w:t>附件1：</w:t>
      </w:r>
      <w:r>
        <w:rPr>
          <w:rFonts w:hint="default" w:ascii="Times New Roman" w:hAnsi="Times New Roman" w:cs="Times New Roman" w:eastAsiaTheme="minorEastAsia"/>
          <w:b w:val="0"/>
          <w:bCs w:val="0"/>
          <w:sz w:val="24"/>
          <w:szCs w:val="24"/>
          <w:highlight w:val="none"/>
          <w:lang w:val="en-US" w:eastAsia="zh-CN" w:bidi="zh-CN"/>
        </w:rPr>
        <w:t>《关于委托编制渠县临巴镇绕场镇改线工程环境影响报告书的函》</w:t>
      </w:r>
    </w:p>
    <w:p>
      <w:pPr>
        <w:bidi w:val="0"/>
        <w:spacing w:line="360" w:lineRule="auto"/>
        <w:rPr>
          <w:rFonts w:hint="default" w:ascii="Times New Roman" w:hAnsi="Times New Roman" w:cs="Times New Roman"/>
        </w:rPr>
      </w:pPr>
      <w:r>
        <w:rPr>
          <w:rFonts w:hint="default" w:ascii="Times New Roman" w:hAnsi="Times New Roman" w:cs="Times New Roman"/>
        </w:rPr>
        <w:t>附件2：</w:t>
      </w:r>
      <w:r>
        <w:rPr>
          <w:rFonts w:hint="default" w:ascii="Times New Roman" w:hAnsi="Times New Roman" w:cs="Times New Roman"/>
          <w:lang w:val="en-US" w:eastAsia="zh-CN"/>
        </w:rPr>
        <w:t>渠县</w:t>
      </w:r>
      <w:r>
        <w:rPr>
          <w:rFonts w:hint="default" w:ascii="Times New Roman" w:hAnsi="Times New Roman" w:cs="Times New Roman"/>
        </w:rPr>
        <w:t>发展和改革委员会《关于</w:t>
      </w:r>
      <w:r>
        <w:rPr>
          <w:rFonts w:hint="default" w:ascii="Times New Roman" w:hAnsi="Times New Roman" w:cs="Times New Roman"/>
          <w:lang w:val="en-US" w:eastAsia="zh-CN"/>
        </w:rPr>
        <w:t>渠县临巴镇绕场镇改线工程</w:t>
      </w:r>
      <w:r>
        <w:rPr>
          <w:rFonts w:hint="default" w:ascii="Times New Roman" w:hAnsi="Times New Roman" w:cs="Times New Roman"/>
        </w:rPr>
        <w:t>可行性研究报告（代项目建议书）的批复》，</w:t>
      </w:r>
      <w:r>
        <w:rPr>
          <w:rFonts w:hint="default" w:ascii="Times New Roman" w:hAnsi="Times New Roman" w:cs="Times New Roman"/>
          <w:lang w:val="en-US" w:eastAsia="zh-CN"/>
        </w:rPr>
        <w:t>渠</w:t>
      </w:r>
      <w:r>
        <w:rPr>
          <w:rFonts w:hint="default" w:ascii="Times New Roman" w:hAnsi="Times New Roman" w:cs="Times New Roman"/>
        </w:rPr>
        <w:t>发改</w:t>
      </w:r>
      <w:r>
        <w:rPr>
          <w:rFonts w:hint="eastAsia" w:ascii="Times New Roman" w:hAnsi="Times New Roman" w:cs="Times New Roman"/>
          <w:lang w:eastAsia="zh-CN"/>
        </w:rPr>
        <w:t>〔</w:t>
      </w:r>
      <w:r>
        <w:rPr>
          <w:rFonts w:hint="default" w:ascii="Times New Roman" w:hAnsi="Times New Roman" w:cs="Times New Roman"/>
        </w:rPr>
        <w:t>20</w:t>
      </w:r>
      <w:r>
        <w:rPr>
          <w:rFonts w:hint="default" w:ascii="Times New Roman" w:hAnsi="Times New Roman" w:cs="Times New Roman"/>
          <w:lang w:val="en-US" w:eastAsia="zh-CN"/>
        </w:rPr>
        <w:t>21</w:t>
      </w:r>
      <w:r>
        <w:rPr>
          <w:rFonts w:hint="eastAsia" w:ascii="Times New Roman" w:hAnsi="Times New Roman" w:cs="Times New Roman"/>
          <w:lang w:eastAsia="zh-CN"/>
        </w:rPr>
        <w:t>〕</w:t>
      </w:r>
      <w:r>
        <w:rPr>
          <w:rFonts w:hint="default" w:ascii="Times New Roman" w:hAnsi="Times New Roman" w:cs="Times New Roman"/>
          <w:lang w:val="en-US" w:eastAsia="zh-CN"/>
        </w:rPr>
        <w:t>106</w:t>
      </w:r>
      <w:r>
        <w:rPr>
          <w:rFonts w:hint="default" w:ascii="Times New Roman" w:hAnsi="Times New Roman" w:cs="Times New Roman"/>
        </w:rPr>
        <w:t>号</w:t>
      </w:r>
    </w:p>
    <w:p>
      <w:pPr>
        <w:bidi w:val="0"/>
        <w:spacing w:line="360" w:lineRule="auto"/>
        <w:rPr>
          <w:rFonts w:hint="default" w:ascii="Times New Roman" w:hAnsi="Times New Roman" w:cs="Times New Roman"/>
        </w:rPr>
      </w:pPr>
      <w:r>
        <w:rPr>
          <w:rFonts w:hint="default" w:ascii="Times New Roman" w:hAnsi="Times New Roman" w:cs="Times New Roman"/>
        </w:rPr>
        <w:t>附件3：</w:t>
      </w:r>
      <w:r>
        <w:rPr>
          <w:rFonts w:hint="default" w:ascii="Times New Roman" w:hAnsi="Times New Roman" w:cs="Times New Roman"/>
          <w:lang w:val="en-US" w:eastAsia="zh-CN"/>
        </w:rPr>
        <w:t>渠县自然资源局</w:t>
      </w:r>
      <w:r>
        <w:rPr>
          <w:rFonts w:hint="default" w:ascii="Times New Roman" w:hAnsi="Times New Roman" w:cs="Times New Roman"/>
        </w:rPr>
        <w:t>《关于</w:t>
      </w:r>
      <w:r>
        <w:rPr>
          <w:rFonts w:hint="default" w:ascii="Times New Roman" w:hAnsi="Times New Roman" w:cs="Times New Roman"/>
          <w:lang w:val="en-US" w:eastAsia="zh-CN"/>
        </w:rPr>
        <w:t>渠县临巴镇绕场镇改线工程项目规划选址和用地预审意见的复函</w:t>
      </w:r>
      <w:r>
        <w:rPr>
          <w:rFonts w:hint="default" w:ascii="Times New Roman" w:hAnsi="Times New Roman" w:cs="Times New Roman"/>
        </w:rPr>
        <w:t>》，</w:t>
      </w:r>
      <w:r>
        <w:rPr>
          <w:rFonts w:hint="default" w:ascii="Times New Roman" w:hAnsi="Times New Roman" w:cs="Times New Roman"/>
          <w:lang w:val="en-US" w:eastAsia="zh-CN"/>
        </w:rPr>
        <w:t>渠自然资函</w:t>
      </w:r>
      <w:r>
        <w:rPr>
          <w:rFonts w:hint="eastAsia" w:ascii="Times New Roman" w:hAnsi="Times New Roman" w:cs="Times New Roman"/>
          <w:lang w:val="en-US" w:eastAsia="zh-CN"/>
        </w:rPr>
        <w:t>〔</w:t>
      </w:r>
      <w:r>
        <w:rPr>
          <w:rFonts w:hint="default" w:ascii="Times New Roman" w:hAnsi="Times New Roman" w:cs="Times New Roman"/>
        </w:rPr>
        <w:t>20</w:t>
      </w:r>
      <w:r>
        <w:rPr>
          <w:rFonts w:hint="default" w:ascii="Times New Roman" w:hAnsi="Times New Roman" w:cs="Times New Roman"/>
          <w:lang w:val="en-US" w:eastAsia="zh-CN"/>
        </w:rPr>
        <w:t>21</w:t>
      </w:r>
      <w:r>
        <w:rPr>
          <w:rFonts w:hint="eastAsia" w:ascii="Times New Roman" w:hAnsi="Times New Roman" w:cs="Times New Roman"/>
          <w:lang w:val="en-US" w:eastAsia="zh-CN"/>
        </w:rPr>
        <w:t>〕</w:t>
      </w:r>
      <w:r>
        <w:rPr>
          <w:rFonts w:hint="default" w:ascii="Times New Roman" w:hAnsi="Times New Roman" w:cs="Times New Roman"/>
          <w:lang w:val="en-US" w:eastAsia="zh-CN"/>
        </w:rPr>
        <w:t>342</w:t>
      </w:r>
      <w:r>
        <w:rPr>
          <w:rFonts w:hint="default" w:ascii="Times New Roman" w:hAnsi="Times New Roman" w:cs="Times New Roman"/>
        </w:rPr>
        <w:t>号</w:t>
      </w:r>
    </w:p>
    <w:p>
      <w:pPr>
        <w:bidi w:val="0"/>
        <w:spacing w:line="360" w:lineRule="auto"/>
        <w:rPr>
          <w:rFonts w:hint="default" w:ascii="Times New Roman" w:hAnsi="Times New Roman" w:cs="Times New Roman"/>
        </w:rPr>
      </w:pPr>
      <w:r>
        <w:rPr>
          <w:rFonts w:hint="default" w:ascii="Times New Roman" w:hAnsi="Times New Roman" w:cs="Times New Roman"/>
        </w:rPr>
        <w:t>附件4：</w:t>
      </w:r>
      <w:r>
        <w:rPr>
          <w:rFonts w:hint="default" w:ascii="Times New Roman" w:hAnsi="Times New Roman" w:cs="Times New Roman" w:eastAsiaTheme="minorEastAsia"/>
          <w:b w:val="0"/>
          <w:bCs w:val="0"/>
          <w:sz w:val="24"/>
          <w:szCs w:val="24"/>
          <w:highlight w:val="none"/>
          <w:lang w:val="en-US" w:eastAsia="zh-CN" w:bidi="zh-CN"/>
        </w:rPr>
        <w:t>《渠县临巴镇绕场镇改线工程环境质量现状检测报告》（中优环境检测成都有限责任公司 2021.11）</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
        <w:bidi w:val="0"/>
        <w:rPr>
          <w:rFonts w:hint="eastAsia"/>
          <w:lang w:val="en-US" w:eastAsia="zh-CN"/>
        </w:rPr>
      </w:pPr>
      <w:bookmarkStart w:id="0" w:name="_Toc11305"/>
      <w:r>
        <w:rPr>
          <w:rFonts w:hint="eastAsia"/>
          <w:lang w:val="en-US" w:eastAsia="zh-CN"/>
        </w:rPr>
        <w:t>概述</w:t>
      </w:r>
      <w:bookmarkEnd w:id="0"/>
    </w:p>
    <w:p>
      <w:pPr>
        <w:bidi w:val="0"/>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项目建设意义</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本项目既有旧路为原县道XS26线，为龙潭乡通往汇南乡的道路，现状道路等级为四级公路，路基宽度5.5～6.5米，整体</w:t>
      </w:r>
      <w:r>
        <w:rPr>
          <w:rFonts w:hint="eastAsia" w:ascii="Times New Roman" w:hAnsi="Times New Roman" w:eastAsia="宋体" w:cs="Times New Roman"/>
          <w:b w:val="0"/>
          <w:bCs w:val="0"/>
          <w:sz w:val="24"/>
          <w:szCs w:val="24"/>
          <w:highlight w:val="none"/>
          <w:lang w:val="en-US" w:eastAsia="zh-CN"/>
        </w:rPr>
        <w:t>线性</w:t>
      </w:r>
      <w:r>
        <w:rPr>
          <w:rFonts w:hint="default" w:ascii="Times New Roman" w:hAnsi="Times New Roman" w:eastAsia="宋体" w:cs="Times New Roman"/>
          <w:b w:val="0"/>
          <w:bCs w:val="0"/>
          <w:sz w:val="24"/>
          <w:szCs w:val="24"/>
          <w:highlight w:val="none"/>
          <w:lang w:val="en-US" w:eastAsia="zh-CN"/>
        </w:rPr>
        <w:t>指标较差，沥青混凝土路面。XS26线在临巴镇穿越场镇内部，街道化极为严重，车辆混杂，存在较大行车安全隐患，同时严重影响道路使用功能。结合区域路网规划，远期S203线将是渠县县城通往达州主城区的重要地方道路，随着区域经济快速发展，原有道路的路面状况及技术标准将难以满足远期交通量发展的需要，整个S203线的提升建设已经逐步提上建设日程，而本项目作为渠县S203线中的一段其建设紧迫性尤其明显。</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建设的另一重要因素为风洞子航电枢纽工程。风洞子航运枢纽工程是渠江干流梯级开发中的重要组成部分，初拟枢纽正常蓄水位为243.00m，死水位为242.60m，正常蓄水位下库容1.79亿m3，装机容量75MW，工程等别为二等。枢纽建成后渠化内河Ⅲ级航道里程57km，航道尺度2.4×60×480 m</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水深×航宽×弯曲半径</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船闸有效尺度200×23×4.2m（闸室长度×宽度×门槛水深）。同时风洞子航运枢纽规划正常蓄水位高于目前临巴场镇部分区域，致使远期XS26线部分路段直接形成淹没区。因此对现有道路的改移也是应对远期风洞子航电枢纽建设蓄水的必然举措，借助目前S203线整体规划及建设，先期开展临巴场镇段的改线工程是必然也是紧迫的。</w:t>
      </w:r>
    </w:p>
    <w:p>
      <w:pPr>
        <w:bidi w:val="0"/>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建设项目基本情况</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2021年6月北京中咨路捷工程技术咨询有限公司完成本项目工程可行性研究，并形成《渠县临巴镇绕场镇改线工程可行性研究报告》获得了行业主管部门渠县发展和改革局审查。目前，本项目正在开展两阶段初步设计工作。根据初步设计文件成果，渠县临巴镇绕场镇改线工程起于临巴镇北侧福善村北侧，与S203线对接，经溪口村</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四合村，于四合村跨越渠江</w:t>
      </w:r>
      <w:r>
        <w:rPr>
          <w:rFonts w:hint="eastAsia" w:ascii="Times New Roman" w:hAnsi="Times New Roman" w:cs="Times New Roman"/>
          <w:sz w:val="24"/>
          <w:szCs w:val="24"/>
          <w:lang w:val="en-US" w:eastAsia="zh-CN"/>
        </w:rPr>
        <w:t>一级支流知县坝河</w:t>
      </w:r>
      <w:r>
        <w:rPr>
          <w:rFonts w:hint="default" w:ascii="Times New Roman" w:hAnsi="Times New Roman" w:eastAsia="宋体" w:cs="Times New Roman"/>
          <w:b w:val="0"/>
          <w:bCs w:val="0"/>
          <w:sz w:val="24"/>
          <w:szCs w:val="24"/>
          <w:highlight w:val="none"/>
          <w:lang w:val="en-US" w:eastAsia="zh-CN"/>
        </w:rPr>
        <w:t>；经临巴镇东侧跨越渠江</w:t>
      </w:r>
      <w:r>
        <w:rPr>
          <w:rFonts w:hint="eastAsia" w:ascii="Times New Roman" w:hAnsi="Times New Roman" w:cs="Times New Roman"/>
          <w:sz w:val="24"/>
          <w:szCs w:val="24"/>
          <w:lang w:val="en-US" w:eastAsia="zh-CN"/>
        </w:rPr>
        <w:t>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eastAsia="宋体" w:cs="Times New Roman"/>
          <w:b w:val="0"/>
          <w:bCs w:val="0"/>
          <w:sz w:val="24"/>
          <w:szCs w:val="24"/>
          <w:highlight w:val="none"/>
          <w:lang w:val="en-US" w:eastAsia="zh-CN"/>
        </w:rPr>
        <w:t>，路线止于临巴镇幸福大道。推荐线路全长3.83km，按二级公路标准设计，设计时速60km，桥梁194m/2座，涵洞398m/12道。桥梁设计汽车荷载为公路</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Ⅱ级。</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本工程永久占地235.2亩，占地类型主要包括林地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耕地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旱地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交通运输用地等；临时占地为取土场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弃渣场，施工便道，占地类型为荒地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耕地。</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本工程挖方20.993万m3</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含表土4.7万m3</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，填方46.6184万m3</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含表土4.7万m3</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，借方28.6254万m3，弃方3万m3。本工程沿线共设置5处取土场，1处弃渣场。</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本项目投资估算 </w:t>
      </w:r>
      <w:r>
        <w:rPr>
          <w:rFonts w:hint="default" w:ascii="Times New Roman" w:hAnsi="Times New Roman" w:eastAsia="宋体" w:cs="Times New Roman"/>
          <w:b w:val="0"/>
          <w:bCs w:val="0"/>
          <w:szCs w:val="21"/>
          <w:highlight w:val="none"/>
          <w:lang w:val="en-US" w:eastAsia="zh-CN"/>
        </w:rPr>
        <w:t>16740万</w:t>
      </w:r>
      <w:r>
        <w:rPr>
          <w:rFonts w:hint="default" w:ascii="Times New Roman" w:hAnsi="Times New Roman" w:eastAsia="宋体" w:cs="Times New Roman"/>
          <w:b w:val="0"/>
          <w:bCs w:val="0"/>
          <w:sz w:val="24"/>
          <w:szCs w:val="24"/>
          <w:highlight w:val="none"/>
          <w:lang w:val="en-US" w:eastAsia="zh-CN"/>
        </w:rPr>
        <w:t>元，建设周期13个月。</w:t>
      </w:r>
    </w:p>
    <w:p>
      <w:pPr>
        <w:bidi w:val="0"/>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三</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环境影响评价工作过程</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根据《中华人民共和国环境保护法》</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《中华人民共和国环境影响评价法》</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《建设项目环境保护管理条例》中有关法律法规要求，四川川品全过程工程咨询有限公司负责开展本工程环境影响评价工作。</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我单位接受托后，派工程技术人员到现场进行调查和资料收集，按照国家环保法律</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法规要求，并根据《环境影响评价技术导则》编制完成《渠县临巴镇绕场镇改线工程环境影响报告书》。</w:t>
      </w:r>
    </w:p>
    <w:p>
      <w:pPr>
        <w:bidi w:val="0"/>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四</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分析判定情况</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本工程为Ⅱ级公路，路线不涉及自然保护区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森林公园</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饮用水源保护区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文物古迹和风景名胜区等敏感区。2021年7月26日，渠县自然资源局出具了《关于渠县临巴镇绕场镇改线工程项目规划选址和用地预审意见的复函》渠自然资函〔2021〕342号，函复：本项目不涉及占用永久基本农田，不影响临巴镇场镇规划；</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受路线走向</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路网规划</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服务功能</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地形地质以及技术标准等制约，本工程四合大桥</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临巴中桥不可避免跨越渠江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eastAsia="宋体" w:cs="Times New Roman"/>
          <w:b w:val="0"/>
          <w:bCs w:val="0"/>
          <w:sz w:val="24"/>
          <w:szCs w:val="24"/>
          <w:highlight w:val="none"/>
          <w:lang w:val="en-US" w:eastAsia="zh-CN"/>
        </w:rPr>
        <w:t>，渠江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eastAsia="宋体" w:cs="Times New Roman"/>
          <w:b w:val="0"/>
          <w:bCs w:val="0"/>
          <w:sz w:val="24"/>
          <w:szCs w:val="24"/>
          <w:highlight w:val="none"/>
          <w:lang w:val="en-US" w:eastAsia="zh-CN"/>
        </w:rPr>
        <w:t>主要功能为农灌，不涉及水产种质资源保护区。</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沿线200m范围内约有300户居民/1000人，参考中华人民共和国生态环境部2018年9月17号部长信箱来信选登（https://www.mee.gov.cn/hdjl/hfhz/201809/t20180917_604999.shtml）回复“《名录》中“涉及环境敏感区”的“涉及”是指建设项目位于</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穿越</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跨越环境敏感区，或环境影响范围涵盖环境敏感区。来信中所提项目应属于涉及《名录》“（三）以居住</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医疗卫生文化教育</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科研</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行政办公等为主要功能的区域”的项目”。本项目属于涉及敏感区的二级公路建设。</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根据《建设项目环境评价分类管理名录》（2021年版），“新建30公里（不含）以上的二级及以上等级公路；新建涉及环境敏感区的二级以上等级公路”应编制环境报告书，故本工程编制环境影响报告书。</w:t>
      </w:r>
    </w:p>
    <w:p>
      <w:pPr>
        <w:bidi w:val="0"/>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五</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主要环境问题及环境影响</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本项目不涉及四川省境内自然保护区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世界文化和自然遗产地等特殊生态敏感区以及风景名胜区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深林公园等重要生态环境敏感区，不涉及饮用水源保护区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基本农田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重要湿地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天然林，重点保护野生动物栖息地，重点保护野生植物生长繁殖地，重要水生生物的自然产卵场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索饵场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越冬场和洄游通道，天然渔场，水土流失重点预防区和重点治理区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沙化土地封禁保护区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封闭及半封闭海域；不涉及四川省生态保护红线。本次环境影响评价工作重点关注施工噪声及运营期交通噪声对沿线敏感点的影响；施工期生产废水</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生活废水对沿线水环境的影响，以及运营期跨越渠江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eastAsia="宋体" w:cs="Times New Roman"/>
          <w:b w:val="0"/>
          <w:bCs w:val="0"/>
          <w:sz w:val="24"/>
          <w:szCs w:val="24"/>
          <w:highlight w:val="none"/>
          <w:lang w:val="en-US" w:eastAsia="zh-CN"/>
        </w:rPr>
        <w:t>路段环境风险事故影响；施工期及运营期占用耕地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林地及对农业生态系统和水土流失等问题的影响。</w:t>
      </w:r>
    </w:p>
    <w:p>
      <w:pPr>
        <w:bidi w:val="0"/>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六</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环境影响评价主要结论</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本报告书认为工程建设符合相关规划要求，建设过程中将会对周边生态环境</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水环境</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环境空气</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声环境等产生不同程度的影响。在严格落实各项环境保护措施后，工程建设对周边环境的不利影响可以得到减缓。在认真落实国家和四川省相应环保法规</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政策，并严格执行环保“三同时”制度的前提下，从环境保护角度分析，本工程是可行的。</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在上述工作基础上，四川川品全过程工程咨询有限公司编制完成了《渠县临巴镇绕场镇改线工程环境影响报告书》，经主管部门审查批复后，作为本工程环境管理技术依据。</w:t>
      </w:r>
    </w:p>
    <w:p>
      <w:pPr>
        <w:keepLines w:val="0"/>
        <w:pageBreakBefore w:val="0"/>
        <w:widowControl/>
        <w:numPr>
          <w:ilvl w:val="0"/>
          <w:numId w:val="0"/>
        </w:numPr>
        <w:kinsoku/>
        <w:wordWrap/>
        <w:overflowPunct/>
        <w:topLinePunct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在报告书编制过程中，得到了达州市人民政府</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达州市生态环境局</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达州市交通运输局</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达州市渠县生态环境局</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渠县交通运输局等相关部门的大力支持和帮助，在此一并感谢</w:t>
      </w:r>
      <w:r>
        <w:rPr>
          <w:rFonts w:hint="eastAsia" w:ascii="Times New Roman" w:hAnsi="Times New Roman" w:eastAsia="宋体" w:cs="Times New Roman"/>
          <w:b w:val="0"/>
          <w:bCs w:val="0"/>
          <w:sz w:val="24"/>
          <w:szCs w:val="24"/>
          <w:highlight w:val="none"/>
          <w:lang w:val="en-US" w:eastAsia="zh-CN"/>
        </w:rPr>
        <w:t>！</w:t>
      </w:r>
    </w:p>
    <w:p>
      <w:pPr>
        <w:pStyle w:val="6"/>
        <w:outlineLvl w:val="9"/>
        <w:rPr>
          <w:rFonts w:hint="eastAsia" w:ascii="Times New Roman" w:hAnsi="Times New Roman" w:eastAsia="宋体" w:cs="Times New Roman"/>
          <w:b w:val="0"/>
          <w:bCs w:val="0"/>
          <w:sz w:val="24"/>
          <w:szCs w:val="24"/>
          <w:highlight w:val="none"/>
          <w:lang w:val="en-US" w:eastAsia="zh-CN"/>
        </w:rPr>
      </w:pPr>
    </w:p>
    <w:p>
      <w:pPr>
        <w:rPr>
          <w:rFonts w:hint="default"/>
          <w:lang w:val="en-US" w:eastAsia="zh-CN"/>
        </w:rPr>
        <w:sectPr>
          <w:footerReference r:id="rId5" w:type="default"/>
          <w:pgSz w:w="11910" w:h="16840"/>
          <w:pgMar w:top="1380" w:right="1180" w:bottom="1200" w:left="1220" w:header="882" w:footer="1009" w:gutter="0"/>
          <w:pgNumType w:fmt="decimal" w:start="1"/>
          <w:cols w:space="720" w:num="1"/>
        </w:sectPr>
      </w:pPr>
    </w:p>
    <w:p>
      <w:pPr>
        <w:pStyle w:val="3"/>
        <w:bidi w:val="0"/>
        <w:rPr>
          <w:rFonts w:hint="default" w:ascii="Times New Roman" w:hAnsi="Times New Roman" w:cs="Times New Roman"/>
          <w:lang w:val="en-US" w:eastAsia="zh-CN"/>
        </w:rPr>
      </w:pPr>
      <w:bookmarkStart w:id="1" w:name="_Toc26111"/>
      <w:r>
        <w:rPr>
          <w:rFonts w:hint="default" w:ascii="Times New Roman" w:hAnsi="Times New Roman" w:cs="Times New Roman"/>
          <w:lang w:val="en-US" w:eastAsia="zh-CN"/>
        </w:rPr>
        <w:t>1.总则</w:t>
      </w:r>
      <w:bookmarkEnd w:id="1"/>
    </w:p>
    <w:p>
      <w:pPr>
        <w:pStyle w:val="4"/>
        <w:bidi w:val="0"/>
        <w:rPr>
          <w:rFonts w:hint="default" w:ascii="Times New Roman" w:hAnsi="Times New Roman" w:cs="Times New Roman"/>
          <w:lang w:val="en-US" w:eastAsia="zh-CN"/>
        </w:rPr>
      </w:pPr>
      <w:bookmarkStart w:id="2" w:name="_Toc17495"/>
      <w:r>
        <w:rPr>
          <w:rFonts w:hint="default" w:ascii="Times New Roman" w:hAnsi="Times New Roman" w:cs="Times New Roman"/>
          <w:lang w:val="en-US" w:eastAsia="zh-CN"/>
        </w:rPr>
        <w:t>1.1.本工程建设的意义</w:t>
      </w:r>
      <w:bookmarkEnd w:id="2"/>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（1）是实施乡村振兴战略的需要</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2018年，习近平在主持学习时强调，乡村振兴战略是党的十九大提出的一项重大战略， 是关系全面建设社会主义现代化国家的全局性</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历史性任务，是新时代“三农”工作总抓手。乡村振兴的总目标：农业农村现代化是实施乡村振兴战略的总目标。在具体实施操作中提出要走城乡融合发展之路，向改革要动力，加快建立健全城乡融合发展体制机制和政策体系，健全多元投入保障机制，增加对农业农村基础设施建设投入，加快城乡基础设施互联互通，推动人才</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土地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资本等要素在城乡间双向流动。</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地处川东地区，是传统的农业生产区，也是经济较为贫困落后的区域。受地形限制，区域产业相对单一，农业生产附加值较低，严重限制了居民生活水平的提高。此外，本区域交通基础设施较为落后，主要以通村道路为主，道路等级偏低，通行条件极差，严重制约了本地区居民与外界的联系。结合乡村振兴战略的指导方针，通过增加区域道路等基础设施建设的投入，加快本区域与周边城区的连接，有利地推动人采用</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土地</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 xml:space="preserve">资本在城乡间的流动，推动沿线农村地区的全面发展。 </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（2）是适应渠县“十四五”经济与社会发展的需要</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在渠县十三届六次党代会上，明确了渠县“十四五”时期和2035年主要目标。经济总量达700亿，同比翻一番，城市规模达到双50，到2035年城市规模达双70；明确了渠县新的角色定位，形成一产配送</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二产配套</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三产后花园新格局，甘当配角</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乐于配套，向成都重庆配送优质农产品，建成产业配套承接示范地。明确了渠县2021年社会发展预期目标，聚焦特色抓发展，坚持“一产配送</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二产配套</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三产后花园”发展思路；聚焦改革抓项目，力争全年新签约“五类500强”企业5家以上，签约资金280亿元以上；聚焦经济圈抓交通，加快风洞子航运工程，启动成达万高铁渠县北站和镇广高速建设，推进县域“半小时交通圈”，实现1小时通达成都</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重庆</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万达开；抓民生改善民生，加强教育</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 xml:space="preserve">医疗发展改革，解决城市活力问题，全力抓好城坝考古遗址建设，加强文化服务体系建设，全力做好疫情防控工作。 </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临巴镇位于华蓥山西麓渠县城以北，2019年12月26日行政区划调整改革后，全镇幅员面积184.7平方公里，总人口93048人（其中：户籍人口86170人），辖区内有20个行政村，6个社区，有201个村（居）民小组，距离渠城15公里。临巴镇先后被国家</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省</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市</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县确定为渠县两个副中心之一</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渠县物流中心场镇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渠县经济发达镇行政体制管理改革试点镇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渠县三个经济副中心之一</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达州市工业强镇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“四川省百镇建设试点行动镇”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“四川省经济十强镇培育镇”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“十三五特色小镇”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 xml:space="preserve">中国民间文化艺术之乡耍锣鼓之乡和全国重点镇。本项目是临巴镇的重要民生工程，其建设将逐步改善临巴场镇交通拥挤的现状，有利于改善区域投资环境，提高商品物流效率，进一步推动临巴镇经济快速发展，进而为实现渠县“十四五”经济与社会发展目标提供保障。 </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（3）是适应渠县“十四五”交通运输规划的需要</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渠县“十四五”交通运输规划的总体思想为：继续以渠县确定的发展大交通为主攻方向，以建设四川东出北上综合交通枢纽重要节点为目标，全面融入“一干多支，五区协同” 发展大格局的要求，努力构建综合公</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铁</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水</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空的“1-2-3-4-5-6-30”立体交通格局， 结合产业</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旅游及乡村振兴，围绕四好公路建设，进一步完善提升农村公路路网结构，优化高速</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铁路</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水运与地方路网的互联互通，十四五末期，为渠县打造内联外畅，融入“一圈一区”一小时交通圈，县域内“30 分钟经济圈”的综合交通体系，为打造东出北上综合交通枢纽核心节点，提升渠县区域地</w:t>
      </w:r>
      <w:r>
        <w:rPr>
          <w:rFonts w:hint="eastAsia" w:ascii="Times New Roman" w:hAnsi="Times New Roman" w:eastAsia="宋体" w:cs="Times New Roman"/>
          <w:b w:val="0"/>
          <w:bCs w:val="0"/>
          <w:sz w:val="24"/>
          <w:szCs w:val="24"/>
          <w:highlight w:val="none"/>
          <w:lang w:val="en-US" w:eastAsia="zh-CN"/>
        </w:rPr>
        <w:t>位抢得先机</w:t>
      </w:r>
      <w:r>
        <w:rPr>
          <w:rFonts w:hint="default" w:ascii="Times New Roman" w:hAnsi="Times New Roman" w:eastAsia="宋体" w:cs="Times New Roman"/>
          <w:b w:val="0"/>
          <w:bCs w:val="0"/>
          <w:sz w:val="24"/>
          <w:szCs w:val="24"/>
          <w:highlight w:val="none"/>
          <w:lang w:val="en-US" w:eastAsia="zh-CN"/>
        </w:rPr>
        <w:t>条件。为县委确定的2025年经济总量冲刺700 亿</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 xml:space="preserve">2035年城市规模建成“双70”开好局起好步，为加快实现渠县“三个定位”，争当助推达州“创副”排头兵奠定坚实基础。本项目位于渠县东部，是区域重要场镇临巴镇的重要场镇过境道路，也是区域重要干线道路 S203 线的重要组成路段。项目区位于渠江东岸，华蓥山西麓，受地理位置影响， 渠江东岸地区形成较为独特的交通格局，区域场镇建设及经济活动主要分布于远期S203线走廊带沿线，S203线的建设将是带动渠县渠江东岸地区的重要举措。本项目作为S203线的重要路段，是S203线建设的先期尝试，将为全县 S203 线的全线开展建设提供宝贵经验，同时也是构建渠县打造内联外畅，融入“一圈一区”一小时交通圈，县域内“30 分钟经济圈”的综合交通体系目标的重要体现。 </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（4）是解决风洞子航电枢纽淹没临巴场镇阻碍交通的需要</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渠江是嘉陵江下游左岸最大支流，水力资源丰富，是四川省规划的“5+2”航道体系中的重要航运干线之一，其建设已纳入四川省构建长江经济带综合立体交通走廊规划的重点项目。渠县渠江风洞子航运工程是渠江</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达州至广安段</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航运发展规划六级开发方案的第三级，项目总投资约45亿元，位于渠县县城上游锡溪河段，下接凉滩枢纽，上接舵石鼓枢纽。工程涉及渠县李馥镇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临巴镇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合力镇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渠北镇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渠江街道</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 xml:space="preserve">天星街道等地。该项目的建设将完成渠江航道等级提升，作为全省内河水运建设的重要组成部分，其建设将实现360千米渠江干流航道的渠化，消除南阳滩老旧枢纽的安全隐患，扫除渠江高等级航道建设的障碍，有利于全省水运建设目标的实现，使全省内河航道网络更趋完善。目前该项目的建设正在稳步推进之中。 </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结合相关规划，受远期风洞子航电枢纽蓄水位影响，现有临巴场镇大部分区域将处于淹没区域。结合风洞子航电枢纽规划，最新临巴场镇规划已经进行了对应调整，主体功能区调整至南侧高地。现有的 XS26 线是区域南北向最重要的通道，现状道路穿越临巴场镇内部，部分路段标高过低，一旦远期风洞子航电枢纽正常蓄水，现有道路XS26线将可能受到水库蓄水的不利影响阻碍区域物流运输。本项目的建设将适应水利工程建设，同时也是适应临巴场镇整体南移的需要。 </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（5）是渠江流域极端气候条件下减轻洪涝灾害损失的需要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2011年 “9·18”强降雨过程造成渠江流域史上实测记录最大洪水，造成了极为严重的生命和财产损失。2011年9月18日18时巴河风滩站出现洪峰，水位303.73米，超保证水位2.73米，相应流量29600立方米每秒，洪水频率80年一遇；19日8时30分渠江三汇站出现洪峰水位267.81米，超保证水位6.67米，相应流量29400 立方米每秒，为100年一遇的超历史实测记录的最大洪水。广安城区洪峰水位238.47米，超保证水位4.1米。洪水期间，广安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达州</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巴中共11县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527个乡镇489.16万人受灾，因灾转移144万人，倒塌房屋8.32万间，死亡25人失踪14人；公路中断319条次，供电中断332条次，通讯中断183条次；损坏水库77座，损坏堤防537处31.6千米。灾害共造成直接经济损失133.23亿元。此次洪灾也造成了临巴镇严重损失，既有XS26 线由于场镇路段标高不足，在雨季极易形成淹没而失去道路通车功能。本项目的新建将提高公路路面高程，提升交通干线抵御洪水的能力，确保极端天气情况下区域物流通畅，同时提升洪水期间抢险救灾的能力。</w:t>
      </w:r>
    </w:p>
    <w:p>
      <w:pPr>
        <w:pStyle w:val="4"/>
        <w:bidi w:val="0"/>
        <w:rPr>
          <w:rFonts w:hint="default" w:ascii="Times New Roman" w:hAnsi="Times New Roman" w:cs="Times New Roman"/>
          <w:lang w:val="en-US" w:eastAsia="zh-CN"/>
        </w:rPr>
      </w:pPr>
      <w:bookmarkStart w:id="3" w:name="_Toc5363"/>
      <w:r>
        <w:rPr>
          <w:rFonts w:hint="default" w:ascii="Times New Roman" w:hAnsi="Times New Roman" w:cs="Times New Roman"/>
          <w:lang w:val="en-US" w:eastAsia="zh-CN"/>
        </w:rPr>
        <w:t>1.2.评价目的</w:t>
      </w:r>
      <w:bookmarkEnd w:id="3"/>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评价拟在对项目建设区域自然环境</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社会环境现状调查的基础上，通过工程环境影响分析和预测，定量或定性评价项目施工期和营运期对环境带来的正</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负两方面的影响，以期实现下述四个方面的目的：</w:t>
      </w:r>
    </w:p>
    <w:p>
      <w:pPr>
        <w:pStyle w:val="22"/>
        <w:keepNext w:val="0"/>
        <w:keepLines w:val="0"/>
        <w:pageBreakBefore w:val="0"/>
        <w:widowControl w:val="0"/>
        <w:numPr>
          <w:ilvl w:val="0"/>
          <w:numId w:val="0"/>
        </w:numPr>
        <w:tabs>
          <w:tab w:val="left" w:pos="16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（1）从环境保护角度论证方案布设的合理性和可行性；</w:t>
      </w:r>
    </w:p>
    <w:p>
      <w:pPr>
        <w:pStyle w:val="22"/>
        <w:keepNext w:val="0"/>
        <w:keepLines w:val="0"/>
        <w:pageBreakBefore w:val="0"/>
        <w:widowControl w:val="0"/>
        <w:numPr>
          <w:ilvl w:val="0"/>
          <w:numId w:val="0"/>
        </w:numPr>
        <w:tabs>
          <w:tab w:val="left" w:pos="16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（2）提出切实可行的环境保护和污染防治措施，使建设项目对环境造成的不利影响降至最小，达到项目建设与环境持续协调发展的目标；</w:t>
      </w:r>
    </w:p>
    <w:p>
      <w:pPr>
        <w:pStyle w:val="22"/>
        <w:keepNext w:val="0"/>
        <w:keepLines w:val="0"/>
        <w:pageBreakBefore w:val="0"/>
        <w:widowControl w:val="0"/>
        <w:numPr>
          <w:ilvl w:val="0"/>
          <w:numId w:val="0"/>
        </w:numPr>
        <w:tabs>
          <w:tab w:val="left" w:pos="16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（3）为项目决策提供依据，并指导项目环境保护设计和工程施工</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营运期的环境管理，使该项目建设达到经济效益</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社会效益和环境效益的统一。</w:t>
      </w:r>
    </w:p>
    <w:p>
      <w:pPr>
        <w:pStyle w:val="22"/>
        <w:keepNext w:val="0"/>
        <w:keepLines w:val="0"/>
        <w:pageBreakBefore w:val="0"/>
        <w:widowControl w:val="0"/>
        <w:numPr>
          <w:ilvl w:val="0"/>
          <w:numId w:val="0"/>
        </w:numPr>
        <w:tabs>
          <w:tab w:val="left" w:pos="16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（4）为项目沿线社会经济发展</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城镇建设和环境规划等提供科学依据。</w:t>
      </w:r>
    </w:p>
    <w:p>
      <w:pPr>
        <w:pStyle w:val="4"/>
        <w:bidi w:val="0"/>
        <w:rPr>
          <w:rFonts w:hint="default" w:ascii="Times New Roman" w:hAnsi="Times New Roman" w:cs="Times New Roman"/>
          <w:lang w:val="en-US" w:eastAsia="zh-CN"/>
        </w:rPr>
      </w:pPr>
      <w:bookmarkStart w:id="4" w:name="_Toc29354"/>
      <w:r>
        <w:rPr>
          <w:rFonts w:hint="default" w:ascii="Times New Roman" w:hAnsi="Times New Roman" w:cs="Times New Roman"/>
          <w:lang w:val="en-US" w:eastAsia="zh-CN"/>
        </w:rPr>
        <w:t>1.3.编制依据</w:t>
      </w:r>
      <w:bookmarkEnd w:id="4"/>
    </w:p>
    <w:p>
      <w:pPr>
        <w:pStyle w:val="5"/>
        <w:bidi w:val="0"/>
        <w:rPr>
          <w:rFonts w:hint="default" w:ascii="Times New Roman" w:hAnsi="Times New Roman" w:cs="Times New Roman"/>
          <w:lang w:val="en-US" w:eastAsia="zh-CN"/>
        </w:rPr>
      </w:pPr>
      <w:bookmarkStart w:id="5" w:name="1.3.1 法律法规"/>
      <w:bookmarkEnd w:id="5"/>
      <w:bookmarkStart w:id="6" w:name="1.3.1 法律法规"/>
      <w:bookmarkEnd w:id="6"/>
      <w:r>
        <w:rPr>
          <w:rFonts w:hint="default" w:ascii="Times New Roman" w:hAnsi="Times New Roman" w:cs="Times New Roman"/>
          <w:lang w:val="en-US" w:eastAsia="zh-CN"/>
        </w:rPr>
        <w:t>1.3.1.法律法规</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（1）《中华人民共和国环境保护法》（2015 年 4 月 24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（2）《中华人民共和国环境影响评价法》（2018 年 12 月 29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（3）《中华人民共和国水污染防治法》（2017 年 6 月 27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（4）《中华人民共和国大气污染防治法》（2018 年 10 月 26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（5）《中华人民共和国环境噪声污染防治法》（2018 年 12 月 29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（6）《中华人民共和国固体废物污染环境防治法》（2019 年 4 月 29）；</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（7）《中华人民共和国土壤污染防治法》（2019 年 1 月 1 日）；</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（8）《中华人民共和国土地管理法》（2020 年修订，2020 年 1 月 1 日施行）；</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（9）《中华人民共和国森林法》（2019 年修订，2020 年 7 月 1 日施行）；</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（10）《中华人民共和国水土保持法》（2011 年 3 月 1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（11）《中华人民共和国野生动物保护法》（2018 年修正）；</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（12）《中华人民共和国文物保护法》（2017 修正）；</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（13）《中华人民共和国城乡规划法》（2019 年 4 月 23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（14）《中华人民共和国水法》（2016 年 7 月 2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（15）《中华人民共和国防洪法》（2015 年 4 月 24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（16）《中华人民共和国公路法》（2017 年 11 月 4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（17）《中华人民共和国渔业法》（2013 年 12 月 28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（18）《中华人民共和国矿产资源法》（2009 年 8 月 27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（19）《中华人民共和国河道管理条例》（2011 年 1 月 8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（20）《中华人民共和国野生植物保护条例》</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2017 年修正</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（21）《中华人民共和国陆生野生动物保护实施条例》（2016 年 2 月 6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（22）《中华人民共和国水生野生动物保护实施条例》（2013 年 12 月 7 日施行）；</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（23）《四川省</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中华人民共和国野生动物保护法</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实施条例》。</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（24）《中华人民共和国水生动植物自然保护区管理办法》（2013 年 12 月 31日修订）；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（25）《建设项目环境保护管理条例》（2017 年 7 月 16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（26）《中华人民共和国自然保护区条例》（2017 年 10 月 7 日修订）；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（27）《危险化学品安全管理条例》2013 年 12 月 4 日修改，2013年12月7日施行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（28）《国家重点保护野生动物名录》（2019 年调整）；</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（29）《国家重点保护野生植物名录</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第一批</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》（农业部第 4 号令，1999 年 9 月 9 日施行）；</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（30）《地质灾害防治条例》2003 年 11 月 19 日通过，2003 年 11 月 24 日发布，2004 年 3 月 1 日施行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（31）《四川省自然保护区管理条例》（2018 年 9 月 30 日第二次修订）；</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（32）《四川省野生植物保护条例》2014 年 11 月 26 日通过，2015 年 3 月 1日施行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（33）《中华人民共和国森林法实施条例》</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2018 年修订</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 xml:space="preserve"> ；</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（34）《四川省人民政府关于公布四川省重点保护野生植物名录的通知》</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2016年2月4日发布并施行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（35）《四川省重点保护野生动物名录》1990 年 3 月 12 日发布并施行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（36）《四川省新增重点保护野生动物名录》2000 年 8 月 15 日批准，2000年 9 月 13 日发布并施行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（37）《四川省环境保护条例》</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四川省第十二届人民代表大会常务委员会公告第 94 号</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（38）《四川省绿化条例》2002 年 3 月 30 日修改并施行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（39）《四川省饮用水水源保护管理条例》2019 年修正；</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（40）《关于进一步加强水生生物资源保护严格环境影响评价管理的通知》，环发〔2013〕86 号；</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（41）《环境保护部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农业部关于进一步加强水生生物资源保护严格环境影响评价管理的通知》（环发〔2013〕86 号）。</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（42）《水产种质资源保护区管理暂行办法》，（农业部令 2011 年第 1 号）。</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lang w:val="en-US" w:eastAsia="zh-CN"/>
        </w:rPr>
        <w:t>（43）《农业部办公厅关于印发建设项目对国家级水产种质资源保护区影响专题论证报告编制指南的通知》，（农办渔</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2014</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14 号）。</w:t>
      </w:r>
    </w:p>
    <w:p>
      <w:pPr>
        <w:pStyle w:val="5"/>
        <w:bidi w:val="0"/>
        <w:rPr>
          <w:rFonts w:hint="default" w:ascii="Times New Roman" w:hAnsi="Times New Roman" w:cs="Times New Roman"/>
          <w:lang w:val="en-US" w:eastAsia="zh-CN"/>
        </w:rPr>
      </w:pPr>
      <w:bookmarkStart w:id="7" w:name="1.3.2 规章规定"/>
      <w:bookmarkEnd w:id="7"/>
      <w:bookmarkStart w:id="8" w:name="1.3.2 规章规定"/>
      <w:bookmarkEnd w:id="8"/>
      <w:r>
        <w:rPr>
          <w:rFonts w:hint="default" w:ascii="Times New Roman" w:hAnsi="Times New Roman" w:cs="Times New Roman"/>
          <w:lang w:val="en-US" w:eastAsia="zh-CN"/>
        </w:rPr>
        <w:t>1.3.2.规章规定</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（1）《全国生态环境保护纲要》（国发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2000</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38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（2）《全国生态功能区划（修编版）》（2015 年 11 月）；</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（3）《国务院关于落实科学发展观加强环境保护的决定》（国发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2005</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39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（4）《产业结构调整指导目录（2019 年本）》（中华人民共和国国家发展和改革委员会令第 29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（5）《建设项目环境影响评价分类管理名录》（2021 年版）；</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（6）《交通建设项目环境保护管理办法》（交通部令第 5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（7）《关于西部大开发中加强建设项目环境保护管理的若干意见》（环发</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4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（8）《关于进一步加强自然保护区建设和管理工作的通知》（环发</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2002</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163号）；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（9）《关于公路</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铁路（含轻轨）等建设项目环境影响评价中环境噪声有关问题的通知》（环发</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2003</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94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（10）《环境影响评价公众参与办法》（生态环境部令第 4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（11）《关于加强公路规划和建设环境影响评价工作的通知》（环发</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2007</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184号）；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 xml:space="preserve">（12）《关于认真贯彻执行公路铁路建设用地指标的通知》（国土资发 </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2000</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186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 xml:space="preserve">（13）《关于开展公路勘察设计典型示范工程活动的通知》（交公路发 </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2004</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172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（14）《关于进一步加强山区公路建设生态保护和水土保持工作的指导意见》（交公路发</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2005</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441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（15）《建设创新型交通行业指导意见》（交通部，2006 年 7 月 24 日）；</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（16）《关于规范建设项目竣工环境保护验收工作的通知》（川环发</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2003</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56号）；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（17）《四川省人民政府办公厅关于进一步做好被征地农民社会保障工作的通知》（川办发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2008</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15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（18）《四川省人民政府办公厅转发省国土资源厅关于调整征地补偿安置标准等有关问题的意见的通知》（川办函</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2008</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73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（19）《四川省人民政府办公厅关于城镇集中式饮用水水源地保护区划定方案的通知》（川办函</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2010</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26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（20）《关于进一步关于进一步加强水生生物资源保护 严格环境影响评价管理的通知》（环发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2013</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86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（21）《国务院关于印发“十三五”生态环境保护规划的通知》（国发</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2016</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65号）；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 xml:space="preserve">（22）《关于加强国家重点生态功能区环境保护和管理的意见》（ 环发 </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2013</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16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（23）《关于进一步加强环境影响评价管理防范环境风险的通知》（环发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2012</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77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 xml:space="preserve">（24）《关于切实加强风险防范严格环境影响评价管理的通知》（ 环发 </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2012</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98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（25）《建设项目环境影响评价政府信息公开指南（试行）》（环境保护部办公厅环办</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2013</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103 号，环境保护部办公厅文件，2013 年 11 月 14 日）；</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（26）《四川省人民政府关于印发四川省生态保护红线方案的通知》（川府发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2018</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24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（27）《土壤污染防治行动条例》（国发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2016</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31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（28）《交通运输部发布关于实施绿色公路建设的指导意见》（交办公路</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2016</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93 号）；</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（29）四川省人民政府关于落实生态保护红线</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环境质量底线</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资源利用上线制定生态环境准入清单实施生态环境分区管控的通知 （川府发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2020</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9 号， 2020 年 6 月 28 日）。</w:t>
      </w:r>
    </w:p>
    <w:p>
      <w:pPr>
        <w:pStyle w:val="5"/>
        <w:bidi w:val="0"/>
        <w:rPr>
          <w:rFonts w:hint="default" w:ascii="Times New Roman" w:hAnsi="Times New Roman" w:cs="Times New Roman"/>
          <w:lang w:val="en-US" w:eastAsia="zh-CN"/>
        </w:rPr>
      </w:pPr>
      <w:bookmarkStart w:id="9" w:name="1.3.3 导则规范"/>
      <w:bookmarkEnd w:id="9"/>
      <w:bookmarkStart w:id="10" w:name="1.3.3 导则规范"/>
      <w:bookmarkEnd w:id="10"/>
      <w:r>
        <w:rPr>
          <w:rFonts w:hint="default" w:ascii="Times New Roman" w:hAnsi="Times New Roman" w:cs="Times New Roman"/>
          <w:lang w:val="en-US" w:eastAsia="zh-CN"/>
        </w:rPr>
        <w:t>1.3.3.导则规范</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（1）《环境影响评价技术导则</w:t>
      </w:r>
      <w:r>
        <w:rPr>
          <w:rFonts w:hint="default" w:ascii="Times New Roman" w:hAnsi="Times New Roman" w:eastAsia="宋体" w:cs="Times New Roman"/>
          <w:b w:val="0"/>
          <w:bCs w:val="0"/>
          <w:sz w:val="24"/>
          <w:szCs w:val="24"/>
          <w:highlight w:val="none"/>
          <w:lang w:val="en-US" w:eastAsia="zh-CN" w:bidi="zh-CN"/>
        </w:rPr>
        <w:tab/>
      </w:r>
      <w:r>
        <w:rPr>
          <w:rFonts w:hint="default" w:ascii="Times New Roman" w:hAnsi="Times New Roman" w:eastAsia="宋体" w:cs="Times New Roman"/>
          <w:b w:val="0"/>
          <w:bCs w:val="0"/>
          <w:sz w:val="24"/>
          <w:szCs w:val="24"/>
          <w:highlight w:val="none"/>
          <w:lang w:val="en-US" w:eastAsia="zh-CN" w:bidi="zh-CN"/>
        </w:rPr>
        <w:t>总纲》（HJ 2.1-2016）；</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（2）《环境影响评价技术导则大气环境》（HJ 2.2-2018）；</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（3）《环境影响评价技术导则地表水环境》（HJ 2.3-2018）；</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（4）《环境影响评价技术导则声环境》（HJ 2.4-2009）；</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（5）《环境影响评价技术导则地下水环境》（HJ 610-2016）；</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（6）《环境影响评价技术导则生态影响》(HJ 19-2011)；</w:t>
      </w:r>
    </w:p>
    <w:p>
      <w:pPr>
        <w:pStyle w:val="22"/>
        <w:keepNext w:val="0"/>
        <w:keepLines w:val="0"/>
        <w:pageBreakBefore w:val="0"/>
        <w:widowControl w:val="0"/>
        <w:numPr>
          <w:ilvl w:val="0"/>
          <w:numId w:val="0"/>
        </w:numPr>
        <w:tabs>
          <w:tab w:val="left" w:pos="1662"/>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（7）《建设项目环境风险评价技术导则》（HJ 169-2018）；</w:t>
      </w:r>
    </w:p>
    <w:p>
      <w:pPr>
        <w:pStyle w:val="22"/>
        <w:keepNext w:val="0"/>
        <w:keepLines w:val="0"/>
        <w:pageBreakBefore w:val="0"/>
        <w:widowControl w:val="0"/>
        <w:numPr>
          <w:ilvl w:val="0"/>
          <w:numId w:val="0"/>
        </w:numPr>
        <w:tabs>
          <w:tab w:val="left" w:pos="1662"/>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（8）《生态环境状况评价技术规范》（HJ 192-2015）；</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（9）《水土保持综合治理技术规范》（GB/T 16543.1～16453.6-2008）；</w:t>
      </w:r>
    </w:p>
    <w:p>
      <w:pPr>
        <w:pStyle w:val="22"/>
        <w:keepNext w:val="0"/>
        <w:keepLines w:val="0"/>
        <w:pageBreakBefore w:val="0"/>
        <w:widowControl w:val="0"/>
        <w:numPr>
          <w:ilvl w:val="0"/>
          <w:numId w:val="0"/>
        </w:numPr>
        <w:tabs>
          <w:tab w:val="left" w:pos="1782"/>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（10）《生产建设项目水土保持技术标准》（GB 50433 - 2018）；</w:t>
      </w:r>
    </w:p>
    <w:p>
      <w:pPr>
        <w:pStyle w:val="22"/>
        <w:keepNext w:val="0"/>
        <w:keepLines w:val="0"/>
        <w:pageBreakBefore w:val="0"/>
        <w:widowControl w:val="0"/>
        <w:numPr>
          <w:ilvl w:val="0"/>
          <w:numId w:val="0"/>
        </w:numPr>
        <w:tabs>
          <w:tab w:val="left" w:pos="1772"/>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（11）《公路工程技术标准》（JTG B01-2014）；</w:t>
      </w:r>
    </w:p>
    <w:p>
      <w:pPr>
        <w:pStyle w:val="22"/>
        <w:keepNext w:val="0"/>
        <w:keepLines w:val="0"/>
        <w:pageBreakBefore w:val="0"/>
        <w:widowControl w:val="0"/>
        <w:numPr>
          <w:ilvl w:val="0"/>
          <w:numId w:val="0"/>
        </w:numPr>
        <w:tabs>
          <w:tab w:val="left" w:pos="1782"/>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（12）《公路环境保护设计规范》（JTG B04-2010）；</w:t>
      </w:r>
    </w:p>
    <w:p>
      <w:pPr>
        <w:pStyle w:val="22"/>
        <w:keepNext w:val="0"/>
        <w:keepLines w:val="0"/>
        <w:pageBreakBefore w:val="0"/>
        <w:widowControl w:val="0"/>
        <w:numPr>
          <w:ilvl w:val="0"/>
          <w:numId w:val="0"/>
        </w:numPr>
        <w:tabs>
          <w:tab w:val="left" w:pos="1782"/>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cs="Times New Roman" w:eastAsiaTheme="minorEastAsia"/>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（13）《公路建设项目环境影响评价规范》（JTGB03-2006）。</w:t>
      </w:r>
    </w:p>
    <w:p>
      <w:pPr>
        <w:pStyle w:val="5"/>
        <w:bidi w:val="0"/>
        <w:rPr>
          <w:rFonts w:hint="default" w:ascii="Times New Roman" w:hAnsi="Times New Roman" w:cs="Times New Roman"/>
          <w:lang w:val="en-US" w:eastAsia="zh-CN"/>
        </w:rPr>
      </w:pPr>
      <w:bookmarkStart w:id="11" w:name="1.3.4 依据文件"/>
      <w:bookmarkEnd w:id="11"/>
      <w:bookmarkStart w:id="12" w:name="1.3.4 依据文件"/>
      <w:bookmarkEnd w:id="12"/>
      <w:r>
        <w:rPr>
          <w:rFonts w:hint="default" w:ascii="Times New Roman" w:hAnsi="Times New Roman" w:cs="Times New Roman"/>
          <w:lang w:val="en-US" w:eastAsia="zh-CN"/>
        </w:rPr>
        <w:t>1.3.4.依据文件</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（1）《关于委托编制渠县临巴镇绕场镇改线工程环境影响报告书的函》；</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（2）《渠县临巴镇绕场镇改线工程环境质量现状检测报告》（中优环境检测成都有限责任公司 2021.11）；</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（3）本项目建设用地预审与选址的复函；</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（4）渠县发展和改革局《关于渠县临巴镇绕场镇改线工程可行性研究报告（代项目建议书）的批复》渠发改审</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2021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106号；</w:t>
      </w:r>
    </w:p>
    <w:p>
      <w:pPr>
        <w:pStyle w:val="5"/>
        <w:bidi w:val="0"/>
        <w:rPr>
          <w:rFonts w:hint="default" w:ascii="Times New Roman" w:hAnsi="Times New Roman" w:cs="Times New Roman"/>
          <w:lang w:val="en-US" w:eastAsia="zh-CN"/>
        </w:rPr>
      </w:pPr>
      <w:bookmarkStart w:id="13" w:name="1.3.5 技术资料"/>
      <w:bookmarkEnd w:id="13"/>
      <w:bookmarkStart w:id="14" w:name="1.3.5 技术资料"/>
      <w:bookmarkEnd w:id="14"/>
      <w:r>
        <w:rPr>
          <w:rFonts w:hint="default" w:ascii="Times New Roman" w:hAnsi="Times New Roman" w:cs="Times New Roman"/>
          <w:lang w:val="en-US" w:eastAsia="zh-CN"/>
        </w:rPr>
        <w:t>1.3.5.技术资料</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（1）《渠县临巴镇绕场镇改线工程可行性研究报告》北京中咨路捷工程技术咨询有限公司2021.6；</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（2）《四川省生态功能区划》（2018.08）</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（3）《四川省主体功能区规划》（2013.04）</w:t>
      </w:r>
    </w:p>
    <w:p>
      <w:pPr>
        <w:pStyle w:val="22"/>
        <w:keepNext w:val="0"/>
        <w:keepLines w:val="0"/>
        <w:pageBreakBefore w:val="0"/>
        <w:widowControl w:val="0"/>
        <w:numPr>
          <w:ilvl w:val="0"/>
          <w:numId w:val="0"/>
        </w:numPr>
        <w:tabs>
          <w:tab w:val="left" w:pos="1662"/>
          <w:tab w:val="left" w:pos="4420"/>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（4）公众参与调查资料；</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eastAsiaTheme="minorEastAsia"/>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（5）项目直接影响区各地市和区县社会</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经济</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环境</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资源</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等方面相关历史</w:t>
      </w:r>
      <w:r>
        <w:rPr>
          <w:rFonts w:hint="eastAsia" w:ascii="Times New Roman" w:hAnsi="Times New Roman" w:eastAsia="宋体"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现状和规划资料以及项目区工程地质资料；</w:t>
      </w:r>
    </w:p>
    <w:p>
      <w:pPr>
        <w:pStyle w:val="4"/>
        <w:bidi w:val="0"/>
        <w:rPr>
          <w:rFonts w:hint="default" w:ascii="Times New Roman" w:hAnsi="Times New Roman" w:cs="Times New Roman"/>
          <w:lang w:val="en-US" w:eastAsia="zh-CN"/>
        </w:rPr>
      </w:pPr>
      <w:bookmarkStart w:id="15" w:name="_Toc29588"/>
      <w:r>
        <w:rPr>
          <w:rFonts w:hint="default" w:ascii="Times New Roman" w:hAnsi="Times New Roman" w:cs="Times New Roman"/>
          <w:lang w:val="en-US" w:eastAsia="zh-CN"/>
        </w:rPr>
        <w:t>1.4.评价因子</w:t>
      </w:r>
      <w:bookmarkEnd w:id="15"/>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经筛选，本项目环境影响主要评价因子如下：</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⑴社会环境：路网规划</w:t>
      </w:r>
      <w:r>
        <w:rPr>
          <w:rFonts w:hint="eastAsia" w:ascii="Times New Roman" w:hAnsi="Times New Roman" w:cs="Times New Roman"/>
          <w:lang w:eastAsia="zh-CN"/>
        </w:rPr>
        <w:t>、</w:t>
      </w:r>
      <w:r>
        <w:rPr>
          <w:rFonts w:hint="default" w:ascii="Times New Roman" w:hAnsi="Times New Roman" w:cs="Times New Roman"/>
        </w:rPr>
        <w:t>城镇发展规划</w:t>
      </w:r>
      <w:r>
        <w:rPr>
          <w:rFonts w:hint="eastAsia" w:ascii="Times New Roman" w:hAnsi="Times New Roman" w:cs="Times New Roman"/>
          <w:lang w:eastAsia="zh-CN"/>
        </w:rPr>
        <w:t>、</w:t>
      </w:r>
      <w:r>
        <w:rPr>
          <w:rFonts w:hint="default" w:ascii="Times New Roman" w:hAnsi="Times New Roman" w:cs="Times New Roman"/>
        </w:rPr>
        <w:t>征地拆迁安置</w:t>
      </w:r>
      <w:r>
        <w:rPr>
          <w:rFonts w:hint="eastAsia" w:ascii="Times New Roman" w:hAnsi="Times New Roman" w:cs="Times New Roman"/>
          <w:lang w:eastAsia="zh-CN"/>
        </w:rPr>
        <w:t>、</w:t>
      </w:r>
      <w:r>
        <w:rPr>
          <w:rFonts w:hint="default" w:ascii="Times New Roman" w:hAnsi="Times New Roman" w:cs="Times New Roman"/>
        </w:rPr>
        <w:t>居民生活质量</w:t>
      </w:r>
      <w:r>
        <w:rPr>
          <w:rFonts w:hint="eastAsia" w:ascii="Times New Roman" w:hAnsi="Times New Roman" w:cs="Times New Roman"/>
          <w:lang w:eastAsia="zh-CN"/>
        </w:rPr>
        <w:t>、</w:t>
      </w:r>
      <w:r>
        <w:rPr>
          <w:rFonts w:hint="default" w:ascii="Times New Roman" w:hAnsi="Times New Roman" w:cs="Times New Roman"/>
        </w:rPr>
        <w:t>文物古迹</w:t>
      </w:r>
      <w:r>
        <w:rPr>
          <w:rFonts w:hint="eastAsia" w:ascii="Times New Roman" w:hAnsi="Times New Roman" w:cs="Times New Roman"/>
          <w:lang w:eastAsia="zh-CN"/>
        </w:rPr>
        <w:t>、</w:t>
      </w:r>
      <w:r>
        <w:rPr>
          <w:rFonts w:hint="default" w:ascii="Times New Roman" w:hAnsi="Times New Roman" w:cs="Times New Roman"/>
        </w:rPr>
        <w:t>交通阻隔</w:t>
      </w:r>
      <w:r>
        <w:rPr>
          <w:rFonts w:hint="eastAsia" w:ascii="Times New Roman" w:hAnsi="Times New Roman" w:cs="Times New Roman"/>
          <w:lang w:eastAsia="zh-CN"/>
        </w:rPr>
        <w:t>、</w:t>
      </w:r>
      <w:r>
        <w:rPr>
          <w:rFonts w:hint="default" w:ascii="Times New Roman" w:hAnsi="Times New Roman" w:cs="Times New Roman"/>
        </w:rPr>
        <w:t>市政基础设施；</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⑵生态环境：农业</w:t>
      </w:r>
      <w:r>
        <w:rPr>
          <w:rFonts w:hint="eastAsia" w:ascii="Times New Roman" w:hAnsi="Times New Roman" w:cs="Times New Roman"/>
          <w:lang w:eastAsia="zh-CN"/>
        </w:rPr>
        <w:t>、</w:t>
      </w:r>
      <w:r>
        <w:rPr>
          <w:rFonts w:hint="default" w:ascii="Times New Roman" w:hAnsi="Times New Roman" w:cs="Times New Roman"/>
        </w:rPr>
        <w:t>水生生物及鱼类</w:t>
      </w:r>
      <w:r>
        <w:rPr>
          <w:rFonts w:hint="eastAsia" w:ascii="Times New Roman" w:hAnsi="Times New Roman" w:cs="Times New Roman"/>
          <w:lang w:eastAsia="zh-CN"/>
        </w:rPr>
        <w:t>、</w:t>
      </w:r>
      <w:r>
        <w:rPr>
          <w:rFonts w:hint="default" w:ascii="Times New Roman" w:hAnsi="Times New Roman" w:cs="Times New Roman"/>
        </w:rPr>
        <w:t>林业植被</w:t>
      </w:r>
      <w:r>
        <w:rPr>
          <w:rFonts w:hint="eastAsia" w:ascii="Times New Roman" w:hAnsi="Times New Roman" w:cs="Times New Roman"/>
          <w:lang w:eastAsia="zh-CN"/>
        </w:rPr>
        <w:t>、</w:t>
      </w:r>
      <w:r>
        <w:rPr>
          <w:rFonts w:hint="default" w:ascii="Times New Roman" w:hAnsi="Times New Roman" w:cs="Times New Roman"/>
        </w:rPr>
        <w:t>野生动植物及古树名木保护</w:t>
      </w:r>
      <w:r>
        <w:rPr>
          <w:rFonts w:hint="eastAsia" w:ascii="Times New Roman" w:hAnsi="Times New Roman" w:cs="Times New Roman"/>
          <w:lang w:eastAsia="zh-CN"/>
        </w:rPr>
        <w:t>、</w:t>
      </w:r>
      <w:r>
        <w:rPr>
          <w:rFonts w:hint="default" w:ascii="Times New Roman" w:hAnsi="Times New Roman" w:cs="Times New Roman"/>
        </w:rPr>
        <w:t>景观</w:t>
      </w:r>
      <w:r>
        <w:rPr>
          <w:rFonts w:hint="eastAsia" w:ascii="Times New Roman" w:hAnsi="Times New Roman" w:cs="Times New Roman"/>
          <w:lang w:eastAsia="zh-CN"/>
        </w:rPr>
        <w:t>、</w:t>
      </w:r>
      <w:r>
        <w:rPr>
          <w:rFonts w:hint="default" w:ascii="Times New Roman" w:hAnsi="Times New Roman" w:cs="Times New Roman"/>
        </w:rPr>
        <w:t>基本农田及生态公益林地的占用</w:t>
      </w:r>
      <w:r>
        <w:rPr>
          <w:rFonts w:hint="eastAsia" w:ascii="Times New Roman" w:hAnsi="Times New Roman" w:cs="Times New Roman"/>
          <w:lang w:eastAsia="zh-CN"/>
        </w:rPr>
        <w:t>、</w:t>
      </w:r>
      <w:r>
        <w:rPr>
          <w:rFonts w:hint="default" w:ascii="Times New Roman" w:hAnsi="Times New Roman" w:cs="Times New Roman"/>
        </w:rPr>
        <w:t>水土流失；</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⑶声环境：施工和运行期等效连续 A 声级 LAeq；</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⑷水环境：pH</w:t>
      </w:r>
      <w:r>
        <w:rPr>
          <w:rFonts w:hint="eastAsia" w:ascii="Times New Roman" w:hAnsi="Times New Roman" w:cs="Times New Roman"/>
          <w:lang w:eastAsia="zh-CN"/>
        </w:rPr>
        <w:t>、</w:t>
      </w:r>
      <w:r>
        <w:rPr>
          <w:rFonts w:hint="default" w:ascii="Times New Roman" w:hAnsi="Times New Roman" w:cs="Times New Roman"/>
        </w:rPr>
        <w:t>COD</w:t>
      </w:r>
      <w:r>
        <w:rPr>
          <w:rFonts w:hint="eastAsia" w:ascii="Times New Roman" w:hAnsi="Times New Roman" w:cs="Times New Roman"/>
          <w:lang w:eastAsia="zh-CN"/>
        </w:rPr>
        <w:t>、</w:t>
      </w:r>
      <w:r>
        <w:rPr>
          <w:rFonts w:hint="default" w:ascii="Times New Roman" w:hAnsi="Times New Roman" w:cs="Times New Roman"/>
        </w:rPr>
        <w:t>石油类</w:t>
      </w:r>
      <w:r>
        <w:rPr>
          <w:rFonts w:hint="eastAsia" w:ascii="Times New Roman" w:hAnsi="Times New Roman" w:cs="Times New Roman"/>
          <w:lang w:eastAsia="zh-CN"/>
        </w:rPr>
        <w:t>、</w:t>
      </w:r>
      <w:r>
        <w:rPr>
          <w:rFonts w:hint="default" w:ascii="Times New Roman" w:hAnsi="Times New Roman" w:cs="Times New Roman"/>
        </w:rPr>
        <w:t>NH3-N</w:t>
      </w:r>
      <w:r>
        <w:rPr>
          <w:rFonts w:hint="eastAsia" w:ascii="Times New Roman" w:hAnsi="Times New Roman" w:cs="Times New Roman"/>
          <w:lang w:eastAsia="zh-CN"/>
        </w:rPr>
        <w:t>、</w:t>
      </w:r>
      <w:r>
        <w:rPr>
          <w:rFonts w:hint="default" w:ascii="Times New Roman" w:hAnsi="Times New Roman" w:cs="Times New Roman"/>
        </w:rPr>
        <w:t>SS；</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⑸环境空气：TSP</w:t>
      </w:r>
      <w:r>
        <w:rPr>
          <w:rFonts w:hint="eastAsia" w:ascii="Times New Roman" w:hAnsi="Times New Roman" w:cs="Times New Roman"/>
          <w:lang w:eastAsia="zh-CN"/>
        </w:rPr>
        <w:t>、</w:t>
      </w:r>
      <w:r>
        <w:rPr>
          <w:rFonts w:hint="default" w:ascii="Times New Roman" w:hAnsi="Times New Roman" w:cs="Times New Roman"/>
        </w:rPr>
        <w:t>NO</w:t>
      </w:r>
      <w:r>
        <w:rPr>
          <w:rFonts w:hint="default" w:ascii="Times New Roman" w:hAnsi="Times New Roman" w:cs="Times New Roman"/>
          <w:vertAlign w:val="subscript"/>
        </w:rPr>
        <w:t>2</w:t>
      </w:r>
      <w:r>
        <w:rPr>
          <w:rFonts w:hint="eastAsia" w:ascii="Times New Roman" w:hAnsi="Times New Roman" w:cs="Times New Roman"/>
          <w:lang w:eastAsia="zh-CN"/>
        </w:rPr>
        <w:t>、</w:t>
      </w:r>
      <w:r>
        <w:rPr>
          <w:rFonts w:hint="default" w:ascii="Times New Roman" w:hAnsi="Times New Roman" w:cs="Times New Roman"/>
        </w:rPr>
        <w:t>PM</w:t>
      </w:r>
      <w:r>
        <w:rPr>
          <w:rFonts w:hint="default" w:ascii="Times New Roman" w:hAnsi="Times New Roman" w:cs="Times New Roman"/>
          <w:vertAlign w:val="subscript"/>
        </w:rPr>
        <w:t>10</w:t>
      </w:r>
      <w:r>
        <w:rPr>
          <w:rFonts w:hint="default" w:ascii="Times New Roman" w:hAnsi="Times New Roman" w:cs="Times New Roma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⑹固体废物：生活垃圾</w:t>
      </w:r>
      <w:r>
        <w:rPr>
          <w:rFonts w:hint="eastAsia" w:ascii="Times New Roman" w:hAnsi="Times New Roman" w:cs="Times New Roman"/>
          <w:lang w:eastAsia="zh-CN"/>
        </w:rPr>
        <w:t>、</w:t>
      </w:r>
      <w:r>
        <w:rPr>
          <w:rFonts w:hint="default" w:ascii="Times New Roman" w:hAnsi="Times New Roman" w:cs="Times New Roman"/>
        </w:rPr>
        <w:t>施工废渣；</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⑺污染事故风险，以石油类作为分析因子。</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环境影响矩阵筛选见下表。</w:t>
      </w:r>
    </w:p>
    <w:p>
      <w:pPr>
        <w:pStyle w:val="2"/>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表 1.4-1 拟建公路工程环境影响矩阵筛选</w:t>
      </w:r>
    </w:p>
    <w:tbl>
      <w:tblPr>
        <w:tblStyle w:val="17"/>
        <w:tblW w:w="475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548"/>
        <w:gridCol w:w="1264"/>
        <w:gridCol w:w="628"/>
        <w:gridCol w:w="632"/>
        <w:gridCol w:w="661"/>
        <w:gridCol w:w="538"/>
        <w:gridCol w:w="572"/>
        <w:gridCol w:w="581"/>
        <w:gridCol w:w="608"/>
        <w:gridCol w:w="510"/>
        <w:gridCol w:w="779"/>
        <w:gridCol w:w="552"/>
        <w:gridCol w:w="546"/>
        <w:gridCol w:w="626"/>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1491" w:type="dxa"/>
            <w:gridSpan w:val="2"/>
            <w:vMerge w:val="restart"/>
            <w:tcBorders>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施工行为</w:t>
            </w: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环境资源</w:t>
            </w:r>
          </w:p>
        </w:tc>
        <w:tc>
          <w:tcPr>
            <w:tcW w:w="1037" w:type="dxa"/>
            <w:gridSpan w:val="2"/>
            <w:tcBorders>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前期</w:t>
            </w:r>
          </w:p>
        </w:tc>
        <w:tc>
          <w:tcPr>
            <w:tcW w:w="2852" w:type="dxa"/>
            <w:gridSpan w:val="6"/>
            <w:tcBorders>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施工期</w:t>
            </w:r>
          </w:p>
        </w:tc>
        <w:tc>
          <w:tcPr>
            <w:tcW w:w="2059" w:type="dxa"/>
            <w:gridSpan w:val="4"/>
            <w:tcBorders>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营运期</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1491" w:type="dxa"/>
            <w:gridSpan w:val="2"/>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占地</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拆迁安置</w:t>
            </w: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取</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弃土石</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路基</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路面</w:t>
            </w: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桥涵</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材料运输</w:t>
            </w: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机械作业</w:t>
            </w: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运输行驶</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绿化</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复垦</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桥涵边沟</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00" w:hRule="atLeast"/>
          <w:jc w:val="center"/>
        </w:trPr>
        <w:tc>
          <w:tcPr>
            <w:tcW w:w="451" w:type="dxa"/>
            <w:vMerge w:val="restart"/>
            <w:tcBorders>
              <w:top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社会环境</w:t>
            </w: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就业</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劳务</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经济</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2"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旅游</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水利</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土地利用</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城镇规划</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交往便利性</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51" w:type="dxa"/>
            <w:vMerge w:val="restart"/>
            <w:tcBorders>
              <w:top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生态环境</w:t>
            </w: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陆地植被</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2"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野生动物</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80"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水生生态及鱼类</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99"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农业生态</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水土保持</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水质</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地表水文</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2" w:hRule="atLeast"/>
          <w:jc w:val="center"/>
        </w:trPr>
        <w:tc>
          <w:tcPr>
            <w:tcW w:w="451" w:type="dxa"/>
            <w:vMerge w:val="continue"/>
            <w:tcBorders>
              <w:top w:val="nil"/>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地下水</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29" w:hRule="atLeast"/>
          <w:jc w:val="center"/>
        </w:trPr>
        <w:tc>
          <w:tcPr>
            <w:tcW w:w="451" w:type="dxa"/>
            <w:vMerge w:val="restart"/>
            <w:tcBorders>
              <w:top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生活质量</w:t>
            </w: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声学环境</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19" w:hRule="atLeast"/>
          <w:jc w:val="center"/>
        </w:trPr>
        <w:tc>
          <w:tcPr>
            <w:tcW w:w="451" w:type="dxa"/>
            <w:vMerge w:val="continue"/>
            <w:tcBorders>
              <w:top w:val="nil"/>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空气质量</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19" w:hRule="atLeast"/>
          <w:jc w:val="center"/>
        </w:trPr>
        <w:tc>
          <w:tcPr>
            <w:tcW w:w="451" w:type="dxa"/>
            <w:vMerge w:val="continue"/>
            <w:tcBorders>
              <w:top w:val="nil"/>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居住</w:t>
            </w:r>
          </w:p>
        </w:tc>
        <w:tc>
          <w:tcPr>
            <w:tcW w:w="51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2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3"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49"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1" w:hRule="atLeast"/>
          <w:jc w:val="center"/>
        </w:trPr>
        <w:tc>
          <w:tcPr>
            <w:tcW w:w="451" w:type="dxa"/>
            <w:vMerge w:val="continue"/>
            <w:tcBorders>
              <w:top w:val="nil"/>
              <w:right w:val="single" w:color="000000" w:sz="4" w:space="0"/>
            </w:tcBorders>
            <w:vAlign w:val="center"/>
          </w:tcPr>
          <w:p>
            <w:pPr>
              <w:pStyle w:val="2"/>
              <w:bidi w:val="0"/>
              <w:jc w:val="center"/>
              <w:rPr>
                <w:rFonts w:hint="default" w:ascii="Times New Roman" w:hAnsi="Times New Roman" w:cs="Times New Roman"/>
                <w:sz w:val="21"/>
                <w:szCs w:val="21"/>
              </w:rPr>
            </w:pPr>
          </w:p>
        </w:tc>
        <w:tc>
          <w:tcPr>
            <w:tcW w:w="1040"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景观</w:t>
            </w:r>
          </w:p>
        </w:tc>
        <w:tc>
          <w:tcPr>
            <w:tcW w:w="517"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20"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43"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3"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0"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77"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500"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19"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641"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tc>
        <w:tc>
          <w:tcPr>
            <w:tcW w:w="454"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9"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15" w:type="dxa"/>
            <w:tcBorders>
              <w:top w:val="single" w:color="000000" w:sz="4" w:space="0"/>
              <w:lef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keepNext w:val="0"/>
        <w:keepLines w:val="0"/>
        <w:pageBreakBefore w:val="0"/>
        <w:widowControl w:val="0"/>
        <w:kinsoku/>
        <w:wordWrap/>
        <w:overflowPunct/>
        <w:topLinePunct w:val="0"/>
        <w:autoSpaceDE w:val="0"/>
        <w:autoSpaceDN w:val="0"/>
        <w:bidi w:val="0"/>
        <w:adjustRightInd/>
        <w:snapToGrid/>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注：□／■：长期有利影响／长期不利影响；○／●：短期有利影响／短期不利影响；空白：无相互作用。</w:t>
      </w:r>
    </w:p>
    <w:p>
      <w:pPr>
        <w:pStyle w:val="2"/>
        <w:spacing w:before="3"/>
        <w:rPr>
          <w:rFonts w:hint="default" w:ascii="Times New Roman" w:hAnsi="Times New Roman" w:cs="Times New Roman"/>
          <w:sz w:val="15"/>
        </w:rPr>
      </w:pPr>
    </w:p>
    <w:p>
      <w:pPr>
        <w:pStyle w:val="4"/>
        <w:bidi w:val="0"/>
        <w:rPr>
          <w:rFonts w:hint="default" w:ascii="Times New Roman" w:hAnsi="Times New Roman" w:cs="Times New Roman"/>
          <w:lang w:val="en-US" w:eastAsia="zh-CN"/>
        </w:rPr>
      </w:pPr>
      <w:bookmarkStart w:id="16" w:name="_bookmark5"/>
      <w:bookmarkEnd w:id="16"/>
      <w:bookmarkStart w:id="17" w:name="1.5 环境功能区划"/>
      <w:bookmarkEnd w:id="17"/>
      <w:bookmarkStart w:id="18" w:name="_bookmark5"/>
      <w:bookmarkEnd w:id="18"/>
      <w:bookmarkStart w:id="19" w:name="_Toc18579"/>
      <w:r>
        <w:rPr>
          <w:rFonts w:hint="default" w:ascii="Times New Roman" w:hAnsi="Times New Roman" w:cs="Times New Roman"/>
          <w:lang w:val="en-US" w:eastAsia="zh-CN"/>
        </w:rPr>
        <w:t>1.5.相关规划与环境功能区划</w:t>
      </w:r>
      <w:bookmarkEnd w:id="19"/>
    </w:p>
    <w:p>
      <w:pPr>
        <w:pStyle w:val="5"/>
        <w:bidi w:val="0"/>
        <w:rPr>
          <w:rFonts w:hint="default" w:ascii="Times New Roman" w:hAnsi="Times New Roman" w:cs="Times New Roman"/>
          <w:lang w:val="en-US" w:eastAsia="zh-CN"/>
        </w:rPr>
      </w:pPr>
      <w:bookmarkStart w:id="20" w:name="1.5.1 环境空气"/>
      <w:bookmarkEnd w:id="20"/>
      <w:bookmarkStart w:id="21" w:name="1.5.1 环境空气"/>
      <w:bookmarkEnd w:id="21"/>
      <w:r>
        <w:rPr>
          <w:rFonts w:hint="default" w:ascii="Times New Roman" w:hAnsi="Times New Roman" w:cs="Times New Roman"/>
          <w:lang w:val="en-US" w:eastAsia="zh-CN"/>
        </w:rPr>
        <w:t>1.5.1.环境功能区划</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lang w:val="en-US" w:eastAsia="zh-CN"/>
        </w:rPr>
        <w:t>环境空气</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本项目经过区域主要为农村环境，经调查，项目经过区域尚未正式划定环境空气功能区。</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lang w:val="en-US" w:eastAsia="zh-CN"/>
        </w:rPr>
      </w:pPr>
      <w:bookmarkStart w:id="22" w:name="1.5.2声环境"/>
      <w:bookmarkEnd w:id="22"/>
      <w:bookmarkStart w:id="23" w:name="1.5.2声环境"/>
      <w:bookmarkEnd w:id="23"/>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lang w:val="en-US" w:eastAsia="zh-CN"/>
        </w:rPr>
        <w:t>声环境</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本项目经过区域主要农村环境，经调查，项目经过区域尚未正式划定声环境功能区。</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bookmarkStart w:id="24" w:name="1.5.3 水环境"/>
      <w:bookmarkEnd w:id="24"/>
      <w:bookmarkStart w:id="25" w:name="1.5.3 水环境"/>
      <w:bookmarkEnd w:id="25"/>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lang w:val="en-US" w:eastAsia="zh-CN"/>
        </w:rPr>
        <w:t>水环境</w:t>
      </w:r>
      <w:r>
        <w:rPr>
          <w:rFonts w:hint="default" w:ascii="Times New Roman" w:hAnsi="Times New Roman" w:cs="Times New Roman"/>
        </w:rPr>
        <w:t>本项目涉及河流</w:t>
      </w:r>
      <w:r>
        <w:rPr>
          <w:rFonts w:hint="default" w:ascii="Times New Roman" w:hAnsi="Times New Roman" w:cs="Times New Roman"/>
          <w:lang w:val="en-US" w:eastAsia="zh-CN"/>
        </w:rPr>
        <w:t>渠江水系</w:t>
      </w:r>
      <w:r>
        <w:rPr>
          <w:rFonts w:hint="default" w:ascii="Times New Roman" w:hAnsi="Times New Roman" w:cs="Times New Roman"/>
        </w:rPr>
        <w:t>，根据《四川省主要河流环境功能类别表》，项目涉及水体为Ⅲ类水域，水域功能包括农业灌溉</w:t>
      </w:r>
      <w:r>
        <w:rPr>
          <w:rFonts w:hint="eastAsia" w:ascii="Times New Roman" w:hAnsi="Times New Roman" w:cs="Times New Roman"/>
          <w:lang w:eastAsia="zh-CN"/>
        </w:rPr>
        <w:t>、</w:t>
      </w:r>
      <w:r>
        <w:rPr>
          <w:rFonts w:hint="default" w:ascii="Times New Roman" w:hAnsi="Times New Roman" w:cs="Times New Roman"/>
        </w:rPr>
        <w:t>鱼类生态用水</w:t>
      </w:r>
      <w:r>
        <w:rPr>
          <w:rFonts w:hint="eastAsia" w:ascii="Times New Roman" w:hAnsi="Times New Roman" w:cs="Times New Roman"/>
          <w:lang w:eastAsia="zh-CN"/>
        </w:rPr>
        <w:t>、</w:t>
      </w:r>
      <w:r>
        <w:rPr>
          <w:rFonts w:hint="default" w:ascii="Times New Roman" w:hAnsi="Times New Roman" w:cs="Times New Roman"/>
        </w:rPr>
        <w:t>行洪等。</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bookmarkStart w:id="26" w:name="1.5.4 生态环境"/>
      <w:bookmarkEnd w:id="26"/>
      <w:bookmarkStart w:id="27" w:name="1.5.4 生态环境"/>
      <w:bookmarkEnd w:id="27"/>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lang w:val="en-US" w:eastAsia="zh-CN"/>
        </w:rPr>
        <w:t>生态环境</w:t>
      </w:r>
      <w:r>
        <w:rPr>
          <w:rFonts w:hint="default" w:ascii="Times New Roman" w:hAnsi="Times New Roman" w:cs="Times New Roman"/>
        </w:rPr>
        <w:t>本项目位于</w:t>
      </w:r>
      <w:r>
        <w:rPr>
          <w:rFonts w:hint="default" w:ascii="Times New Roman" w:hAnsi="Times New Roman" w:cs="Times New Roman"/>
          <w:lang w:val="en-US" w:eastAsia="zh-CN"/>
        </w:rPr>
        <w:t>渠县临巴镇</w:t>
      </w:r>
      <w:r>
        <w:rPr>
          <w:rFonts w:hint="default" w:ascii="Times New Roman" w:hAnsi="Times New Roman" w:cs="Times New Roman"/>
        </w:rPr>
        <w:t>境内，根据《全国生态功能区划》（环境保护部</w:t>
      </w:r>
      <w:r>
        <w:rPr>
          <w:rFonts w:hint="eastAsia" w:ascii="Times New Roman" w:hAnsi="Times New Roman" w:cs="Times New Roman"/>
          <w:lang w:eastAsia="zh-CN"/>
        </w:rPr>
        <w:t>、</w:t>
      </w:r>
      <w:r>
        <w:rPr>
          <w:rFonts w:hint="default" w:ascii="Times New Roman" w:hAnsi="Times New Roman" w:cs="Times New Roman"/>
        </w:rPr>
        <w:t>中国科学院公告2015年第61号，2015年11月），</w:t>
      </w:r>
      <w:r>
        <w:rPr>
          <w:rFonts w:hint="default" w:ascii="Times New Roman" w:hAnsi="Times New Roman" w:cs="Times New Roman"/>
          <w:lang w:val="en-US" w:eastAsia="zh-CN"/>
        </w:rPr>
        <w:t>本项目所在区县属全国生态功能区划中产品提供一级功能区，农产品提供二级功能区，川东丘陵林产品提供三级功能区（Ⅱ-02-05）</w:t>
      </w:r>
      <w:r>
        <w:rPr>
          <w:rFonts w:hint="default" w:ascii="Times New Roman" w:hAnsi="Times New Roman" w:cs="Times New Roman"/>
        </w:rPr>
        <w:t>。该类型区的主要生态问题：耕地垦殖过度，农村面源污染，森林覆盖率低，水土流失面广；</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rPr>
        <w:t>根据《四川省生态功能区划》</w:t>
      </w:r>
      <w:r>
        <w:rPr>
          <w:rFonts w:hint="eastAsia" w:ascii="Times New Roman" w:hAnsi="Times New Roman" w:cs="Times New Roman"/>
          <w:lang w:eastAsia="zh-CN"/>
        </w:rPr>
        <w:t>（</w:t>
      </w:r>
      <w:r>
        <w:rPr>
          <w:rFonts w:hint="default" w:ascii="Times New Roman" w:hAnsi="Times New Roman" w:cs="Times New Roman"/>
        </w:rPr>
        <w:t>川府函</w:t>
      </w:r>
      <w:r>
        <w:rPr>
          <w:rFonts w:hint="eastAsia" w:ascii="Times New Roman" w:hAnsi="Times New Roman" w:cs="Times New Roman"/>
          <w:lang w:eastAsia="zh-CN"/>
        </w:rPr>
        <w:t>〔</w:t>
      </w:r>
      <w:r>
        <w:rPr>
          <w:rFonts w:hint="default" w:ascii="Times New Roman" w:hAnsi="Times New Roman" w:cs="Times New Roman"/>
        </w:rPr>
        <w:t>2006</w:t>
      </w:r>
      <w:r>
        <w:rPr>
          <w:rFonts w:hint="eastAsia" w:ascii="Times New Roman" w:hAnsi="Times New Roman" w:cs="Times New Roman"/>
          <w:lang w:eastAsia="zh-CN"/>
        </w:rPr>
        <w:t>〕</w:t>
      </w:r>
      <w:r>
        <w:rPr>
          <w:rFonts w:hint="default" w:ascii="Times New Roman" w:hAnsi="Times New Roman" w:cs="Times New Roman"/>
        </w:rPr>
        <w:t>100 号，2006 年 5 月 31 日</w:t>
      </w:r>
      <w:r>
        <w:rPr>
          <w:rFonts w:hint="eastAsia" w:ascii="Times New Roman" w:hAnsi="Times New Roman" w:cs="Times New Roman"/>
          <w:lang w:eastAsia="zh-CN"/>
        </w:rPr>
        <w:t>）</w:t>
      </w:r>
      <w:r>
        <w:rPr>
          <w:rFonts w:hint="default" w:ascii="Times New Roman" w:hAnsi="Times New Roman" w:cs="Times New Roman"/>
        </w:rPr>
        <w:t>，</w:t>
      </w:r>
      <w:r>
        <w:rPr>
          <w:rFonts w:hint="default" w:ascii="Times New Roman" w:hAnsi="Times New Roman" w:cs="Times New Roman"/>
          <w:lang w:val="en-US" w:eastAsia="zh-CN"/>
        </w:rPr>
        <w:t>项目区属于I四川盆地亚热带农林生态区，</w:t>
      </w:r>
      <w:r>
        <w:rPr>
          <w:rFonts w:hint="default" w:ascii="Times New Roman" w:hAnsi="Times New Roman" w:cs="Times New Roman"/>
        </w:rPr>
        <w:t>Ⅰ</w:t>
      </w:r>
      <w:r>
        <w:rPr>
          <w:rFonts w:hint="default" w:ascii="Times New Roman" w:hAnsi="Times New Roman" w:cs="Times New Roman"/>
          <w:lang w:val="en-US" w:eastAsia="zh-CN"/>
        </w:rPr>
        <w:t xml:space="preserve"> </w:t>
      </w:r>
      <w:r>
        <w:rPr>
          <w:rFonts w:hint="default" w:ascii="Times New Roman" w:hAnsi="Times New Roman" w:cs="Times New Roman"/>
        </w:rPr>
        <w:t>2盆中丘陵农林复合生态亚区</w:t>
      </w:r>
      <w:r>
        <w:rPr>
          <w:rFonts w:hint="default" w:ascii="Times New Roman" w:hAnsi="Times New Roman" w:cs="Times New Roman"/>
          <w:lang w:val="en-US" w:eastAsia="zh-CN"/>
        </w:rPr>
        <w:t>，</w:t>
      </w:r>
      <w:r>
        <w:rPr>
          <w:rFonts w:hint="default" w:ascii="Times New Roman" w:hAnsi="Times New Roman" w:cs="Times New Roman"/>
        </w:rPr>
        <w:t>Ⅰ</w:t>
      </w:r>
      <w:r>
        <w:rPr>
          <w:rFonts w:hint="default" w:ascii="Times New Roman" w:hAnsi="Times New Roman" w:cs="Times New Roman"/>
          <w:lang w:val="en-US" w:eastAsia="zh-CN"/>
        </w:rPr>
        <w:t xml:space="preserve"> </w:t>
      </w:r>
      <w:r>
        <w:rPr>
          <w:rFonts w:hint="default" w:ascii="Times New Roman" w:hAnsi="Times New Roman" w:cs="Times New Roman"/>
        </w:rPr>
        <w:t>2-2渠江流域城镇与农林生态功能区</w:t>
      </w:r>
      <w:r>
        <w:rPr>
          <w:rFonts w:hint="default" w:ascii="Times New Roman" w:hAnsi="Times New Roman" w:cs="Times New Roman"/>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（Ⅰ2-5）。本项目区域内的生态功能区划特征一览表详见表 1.5-1。</w:t>
      </w:r>
    </w:p>
    <w:p>
      <w:pPr>
        <w:keepNext w:val="0"/>
        <w:keepLines w:val="0"/>
        <w:pageBreakBefore w:val="0"/>
        <w:widowControl w:val="0"/>
        <w:kinsoku/>
        <w:wordWrap/>
        <w:overflowPunct/>
        <w:topLinePunct w:val="0"/>
        <w:autoSpaceDE w:val="0"/>
        <w:autoSpaceDN w:val="0"/>
        <w:bidi w:val="0"/>
        <w:adjustRightInd/>
        <w:snapToGrid/>
        <w:spacing w:before="0" w:after="0"/>
        <w:ind w:left="0" w:right="0" w:firstLine="0"/>
        <w:jc w:val="center"/>
        <w:textAlignment w:val="auto"/>
        <w:rPr>
          <w:rFonts w:hint="default" w:ascii="Times New Roman" w:hAnsi="Times New Roman" w:cs="Times New Roman"/>
          <w:b/>
          <w:sz w:val="21"/>
        </w:rPr>
      </w:pPr>
      <w:r>
        <w:rPr>
          <w:rFonts w:hint="default" w:ascii="Times New Roman" w:hAnsi="Times New Roman" w:cs="Times New Roman"/>
          <w:b/>
          <w:spacing w:val="-26"/>
          <w:sz w:val="21"/>
        </w:rPr>
        <w:t xml:space="preserve">表 </w:t>
      </w:r>
      <w:r>
        <w:rPr>
          <w:rFonts w:hint="default" w:ascii="Times New Roman" w:hAnsi="Times New Roman" w:eastAsia="Times New Roman" w:cs="Times New Roman"/>
          <w:b/>
          <w:sz w:val="21"/>
        </w:rPr>
        <w:t xml:space="preserve">1.5-1 </w:t>
      </w:r>
      <w:r>
        <w:rPr>
          <w:rFonts w:hint="default" w:ascii="Times New Roman" w:hAnsi="Times New Roman" w:cs="Times New Roman"/>
          <w:b/>
          <w:spacing w:val="-1"/>
          <w:sz w:val="21"/>
        </w:rPr>
        <w:t>项目区生态功能区划特征一览表</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71"/>
        <w:gridCol w:w="820"/>
        <w:gridCol w:w="1251"/>
        <w:gridCol w:w="2296"/>
        <w:gridCol w:w="1748"/>
        <w:gridCol w:w="165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311" w:type="dxa"/>
            <w:tcBorders>
              <w:tl2br w:val="nil"/>
              <w:tr2bl w:val="nil"/>
            </w:tcBorders>
            <w:noWrap w:val="0"/>
            <w:vAlign w:val="center"/>
          </w:tcPr>
          <w:p>
            <w:pPr>
              <w:bidi w:val="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生态功能区</w:t>
            </w:r>
          </w:p>
        </w:tc>
        <w:tc>
          <w:tcPr>
            <w:tcW w:w="720" w:type="dxa"/>
            <w:tcBorders>
              <w:tl2br w:val="nil"/>
              <w:tr2bl w:val="nil"/>
            </w:tcBorders>
            <w:noWrap w:val="0"/>
            <w:vAlign w:val="center"/>
          </w:tcPr>
          <w:p>
            <w:pPr>
              <w:bidi w:val="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区域</w:t>
            </w:r>
          </w:p>
        </w:tc>
        <w:tc>
          <w:tcPr>
            <w:tcW w:w="1110" w:type="dxa"/>
            <w:tcBorders>
              <w:tl2br w:val="nil"/>
              <w:tr2bl w:val="nil"/>
            </w:tcBorders>
            <w:noWrap w:val="0"/>
            <w:vAlign w:val="center"/>
          </w:tcPr>
          <w:p>
            <w:pPr>
              <w:bidi w:val="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典型生态系统</w:t>
            </w:r>
          </w:p>
        </w:tc>
        <w:tc>
          <w:tcPr>
            <w:tcW w:w="2055" w:type="dxa"/>
            <w:tcBorders>
              <w:tl2br w:val="nil"/>
              <w:tr2bl w:val="nil"/>
            </w:tcBorders>
            <w:noWrap w:val="0"/>
            <w:vAlign w:val="center"/>
          </w:tcPr>
          <w:p>
            <w:pPr>
              <w:bidi w:val="0"/>
              <w:rPr>
                <w:rFonts w:hint="default" w:ascii="Times New Roman" w:hAnsi="Times New Roman" w:cs="Times New Roman"/>
                <w:sz w:val="21"/>
                <w:szCs w:val="21"/>
              </w:rPr>
            </w:pPr>
            <w:r>
              <w:rPr>
                <w:rFonts w:hint="default" w:ascii="Times New Roman" w:hAnsi="Times New Roman" w:cs="Times New Roman"/>
                <w:sz w:val="21"/>
                <w:szCs w:val="21"/>
              </w:rPr>
              <w:t>主要生态问题</w:t>
            </w:r>
          </w:p>
        </w:tc>
        <w:tc>
          <w:tcPr>
            <w:tcW w:w="1560" w:type="dxa"/>
            <w:tcBorders>
              <w:tl2br w:val="nil"/>
              <w:tr2bl w:val="nil"/>
            </w:tcBorders>
            <w:noWrap w:val="0"/>
            <w:vAlign w:val="center"/>
          </w:tcPr>
          <w:p>
            <w:pPr>
              <w:bidi w:val="0"/>
              <w:rPr>
                <w:rFonts w:hint="default" w:ascii="Times New Roman" w:hAnsi="Times New Roman" w:cs="Times New Roman"/>
                <w:sz w:val="21"/>
                <w:szCs w:val="21"/>
              </w:rPr>
            </w:pPr>
            <w:r>
              <w:rPr>
                <w:rFonts w:hint="default" w:ascii="Times New Roman" w:hAnsi="Times New Roman" w:cs="Times New Roman"/>
                <w:sz w:val="21"/>
                <w:szCs w:val="21"/>
              </w:rPr>
              <w:t>生态环境敏感性</w:t>
            </w:r>
          </w:p>
        </w:tc>
        <w:tc>
          <w:tcPr>
            <w:tcW w:w="1477" w:type="dxa"/>
            <w:tcBorders>
              <w:tl2br w:val="nil"/>
              <w:tr2bl w:val="nil"/>
            </w:tcBorders>
            <w:noWrap w:val="0"/>
            <w:vAlign w:val="center"/>
          </w:tcPr>
          <w:p>
            <w:pPr>
              <w:bidi w:val="0"/>
              <w:rPr>
                <w:rFonts w:hint="default" w:ascii="Times New Roman" w:hAnsi="Times New Roman" w:cs="Times New Roman"/>
                <w:sz w:val="21"/>
                <w:szCs w:val="21"/>
              </w:rPr>
            </w:pPr>
            <w:r>
              <w:rPr>
                <w:rFonts w:hint="default" w:ascii="Times New Roman" w:hAnsi="Times New Roman" w:cs="Times New Roman"/>
                <w:sz w:val="21"/>
                <w:szCs w:val="21"/>
              </w:rPr>
              <w:t>生态服务功能</w:t>
            </w:r>
            <w:r>
              <w:rPr>
                <w:rFonts w:hint="default" w:ascii="Times New Roman" w:hAnsi="Times New Roman" w:cs="Times New Roman"/>
                <w:sz w:val="21"/>
                <w:szCs w:val="21"/>
                <w:lang w:eastAsia="zh-CN"/>
              </w:rPr>
              <w:t>重要性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311" w:type="dxa"/>
            <w:tcBorders>
              <w:tl2br w:val="nil"/>
              <w:tr2bl w:val="nil"/>
            </w:tcBorders>
            <w:noWrap w:val="0"/>
            <w:vAlign w:val="center"/>
          </w:tcPr>
          <w:p>
            <w:pPr>
              <w:bidi w:val="0"/>
              <w:rPr>
                <w:rFonts w:hint="default" w:ascii="Times New Roman" w:hAnsi="Times New Roman" w:cs="Times New Roman"/>
                <w:sz w:val="21"/>
                <w:szCs w:val="21"/>
              </w:rPr>
            </w:pPr>
            <w:r>
              <w:rPr>
                <w:rFonts w:hint="default" w:ascii="Times New Roman" w:hAnsi="Times New Roman" w:cs="Times New Roman"/>
                <w:sz w:val="21"/>
                <w:szCs w:val="21"/>
              </w:rPr>
              <w:t>Ⅰ</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2-2渠江流域城镇与农林生态功能区</w:t>
            </w:r>
          </w:p>
        </w:tc>
        <w:tc>
          <w:tcPr>
            <w:tcW w:w="720" w:type="dxa"/>
            <w:tcBorders>
              <w:tl2br w:val="nil"/>
              <w:tr2bl w:val="nil"/>
            </w:tcBorders>
            <w:noWrap w:val="0"/>
            <w:vAlign w:val="center"/>
          </w:tcPr>
          <w:p>
            <w:pPr>
              <w:bidi w:val="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渠县</w:t>
            </w:r>
          </w:p>
        </w:tc>
        <w:tc>
          <w:tcPr>
            <w:tcW w:w="1110" w:type="dxa"/>
            <w:tcBorders>
              <w:tl2br w:val="nil"/>
              <w:tr2bl w:val="nil"/>
            </w:tcBorders>
            <w:noWrap w:val="0"/>
            <w:vAlign w:val="center"/>
          </w:tcPr>
          <w:p>
            <w:pPr>
              <w:bidi w:val="0"/>
              <w:rPr>
                <w:rFonts w:hint="default" w:ascii="Times New Roman" w:hAnsi="Times New Roman" w:cs="Times New Roman"/>
                <w:sz w:val="21"/>
                <w:szCs w:val="21"/>
                <w:lang w:eastAsia="zh-CN"/>
              </w:rPr>
            </w:pPr>
            <w:r>
              <w:rPr>
                <w:rFonts w:hint="default" w:ascii="Times New Roman" w:hAnsi="Times New Roman" w:cs="Times New Roman"/>
                <w:sz w:val="21"/>
                <w:szCs w:val="21"/>
              </w:rPr>
              <w:t>农田和水生态系统</w:t>
            </w:r>
          </w:p>
        </w:tc>
        <w:tc>
          <w:tcPr>
            <w:tcW w:w="2055" w:type="dxa"/>
            <w:tcBorders>
              <w:tl2br w:val="nil"/>
              <w:tr2bl w:val="nil"/>
            </w:tcBorders>
            <w:noWrap w:val="0"/>
            <w:vAlign w:val="center"/>
          </w:tcPr>
          <w:p>
            <w:pPr>
              <w:bidi w:val="0"/>
              <w:rPr>
                <w:rFonts w:hint="default" w:ascii="Times New Roman" w:hAnsi="Times New Roman" w:cs="Times New Roman"/>
                <w:sz w:val="21"/>
                <w:szCs w:val="21"/>
                <w:lang w:eastAsia="zh-CN"/>
              </w:rPr>
            </w:pPr>
            <w:r>
              <w:rPr>
                <w:rFonts w:hint="default" w:ascii="Times New Roman" w:hAnsi="Times New Roman" w:cs="Times New Roman"/>
                <w:sz w:val="21"/>
                <w:szCs w:val="21"/>
              </w:rPr>
              <w:t>耕地垦殖过度，农村面源污染，森林覆盖率低，水土流失面广。</w:t>
            </w:r>
          </w:p>
        </w:tc>
        <w:tc>
          <w:tcPr>
            <w:tcW w:w="1560" w:type="dxa"/>
            <w:tcBorders>
              <w:tl2br w:val="nil"/>
              <w:tr2bl w:val="nil"/>
            </w:tcBorders>
            <w:noWrap w:val="0"/>
            <w:vAlign w:val="center"/>
          </w:tcPr>
          <w:p>
            <w:pPr>
              <w:bidi w:val="0"/>
              <w:rPr>
                <w:rFonts w:hint="default" w:ascii="Times New Roman" w:hAnsi="Times New Roman" w:cs="Times New Roman"/>
                <w:sz w:val="21"/>
                <w:szCs w:val="21"/>
                <w:lang w:eastAsia="zh-CN"/>
              </w:rPr>
            </w:pPr>
            <w:r>
              <w:rPr>
                <w:rFonts w:hint="default" w:ascii="Times New Roman" w:hAnsi="Times New Roman" w:cs="Times New Roman"/>
                <w:sz w:val="21"/>
                <w:szCs w:val="21"/>
              </w:rPr>
              <w:t>土壤侵蚀中度敏感，水环境污染高度敏感，酸雨轻度敏感。</w:t>
            </w:r>
          </w:p>
        </w:tc>
        <w:tc>
          <w:tcPr>
            <w:tcW w:w="1477" w:type="dxa"/>
            <w:tcBorders>
              <w:tl2br w:val="nil"/>
              <w:tr2bl w:val="nil"/>
            </w:tcBorders>
            <w:noWrap w:val="0"/>
            <w:vAlign w:val="center"/>
          </w:tcPr>
          <w:p>
            <w:pPr>
              <w:bidi w:val="0"/>
              <w:rPr>
                <w:rFonts w:hint="default" w:ascii="Times New Roman" w:hAnsi="Times New Roman" w:cs="Times New Roman"/>
                <w:sz w:val="21"/>
                <w:szCs w:val="21"/>
                <w:lang w:eastAsia="zh-CN"/>
              </w:rPr>
            </w:pPr>
            <w:r>
              <w:rPr>
                <w:rFonts w:hint="default" w:ascii="Times New Roman" w:hAnsi="Times New Roman" w:cs="Times New Roman"/>
                <w:sz w:val="21"/>
                <w:szCs w:val="21"/>
              </w:rPr>
              <w:t>城镇与农林业发展，水环境污染控制，洪水调蓄。</w:t>
            </w:r>
          </w:p>
        </w:tc>
      </w:tr>
    </w:tbl>
    <w:p>
      <w:pPr>
        <w:pStyle w:val="2"/>
        <w:spacing w:before="11"/>
        <w:rPr>
          <w:rFonts w:hint="default" w:ascii="Times New Roman" w:hAnsi="Times New Roman" w:cs="Times New Roman"/>
          <w:b/>
          <w:sz w:val="16"/>
        </w:rPr>
      </w:pP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lang w:val="en-US" w:eastAsia="zh-CN"/>
        </w:rPr>
      </w:pPr>
      <w:bookmarkStart w:id="28" w:name="1.5.5 水土保持"/>
      <w:bookmarkEnd w:id="28"/>
      <w:bookmarkStart w:id="29" w:name="1.5.5 水土保持"/>
      <w:bookmarkEnd w:id="29"/>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lang w:val="en-US" w:eastAsia="zh-CN"/>
        </w:rPr>
        <w:t>水土保持</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根据《全国水土保持规划国家级水土流失重点预防区和重点治理区复核划分成果》</w:t>
      </w:r>
      <w:r>
        <w:rPr>
          <w:rFonts w:hint="eastAsia" w:ascii="Times New Roman" w:hAnsi="Times New Roman" w:cs="Times New Roman"/>
          <w:lang w:eastAsia="zh-CN"/>
        </w:rPr>
        <w:t>（</w:t>
      </w:r>
      <w:r>
        <w:rPr>
          <w:rFonts w:hint="default" w:ascii="Times New Roman" w:hAnsi="Times New Roman" w:cs="Times New Roman"/>
        </w:rPr>
        <w:t>办水保</w:t>
      </w:r>
      <w:r>
        <w:rPr>
          <w:rFonts w:hint="eastAsia" w:ascii="Times New Roman" w:hAnsi="Times New Roman" w:cs="Times New Roman"/>
          <w:lang w:eastAsia="zh-CN"/>
        </w:rPr>
        <w:t>〔</w:t>
      </w:r>
      <w:r>
        <w:rPr>
          <w:rFonts w:hint="default" w:ascii="Times New Roman" w:hAnsi="Times New Roman" w:cs="Times New Roman"/>
        </w:rPr>
        <w:t>2013</w:t>
      </w:r>
      <w:r>
        <w:rPr>
          <w:rFonts w:hint="eastAsia" w:ascii="Times New Roman" w:hAnsi="Times New Roman" w:cs="Times New Roman"/>
          <w:lang w:eastAsia="zh-CN"/>
        </w:rPr>
        <w:t>〕</w:t>
      </w:r>
      <w:r>
        <w:rPr>
          <w:rFonts w:hint="default" w:ascii="Times New Roman" w:hAnsi="Times New Roman" w:cs="Times New Roman"/>
        </w:rPr>
        <w:t>188 号</w:t>
      </w:r>
      <w:r>
        <w:rPr>
          <w:rFonts w:hint="eastAsia" w:ascii="Times New Roman" w:hAnsi="Times New Roman" w:cs="Times New Roman"/>
          <w:lang w:eastAsia="zh-CN"/>
        </w:rPr>
        <w:t>）</w:t>
      </w:r>
      <w:r>
        <w:rPr>
          <w:rFonts w:hint="default" w:ascii="Times New Roman" w:hAnsi="Times New Roman" w:cs="Times New Roman"/>
        </w:rPr>
        <w:t>，项目所在区域</w:t>
      </w:r>
      <w:r>
        <w:rPr>
          <w:rFonts w:hint="default" w:ascii="Times New Roman" w:hAnsi="Times New Roman" w:cs="Times New Roman"/>
          <w:lang w:val="en-US" w:eastAsia="zh-CN"/>
        </w:rPr>
        <w:t>渠县</w:t>
      </w:r>
      <w:r>
        <w:rPr>
          <w:rFonts w:hint="default" w:ascii="Times New Roman" w:hAnsi="Times New Roman" w:cs="Times New Roman"/>
        </w:rPr>
        <w:t>属于嘉陵江及沱江中下游国家级水土流失重点治理区。</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1.5.2.相关规划符合性</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产业政策符合性</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根据《产业结构调整指导目录（2019年本）》相关规定，本项目符合其中第一类“鼓励类”第二</w:t>
      </w:r>
      <w:r>
        <w:rPr>
          <w:rFonts w:hint="default" w:ascii="Times New Roman" w:hAnsi="Times New Roman" w:eastAsia="宋体" w:cs="Times New Roman"/>
          <w:lang w:val="en-US" w:eastAsia="zh-CN"/>
        </w:rPr>
        <w:t>十四</w:t>
      </w:r>
      <w:r>
        <w:rPr>
          <w:rFonts w:hint="default" w:ascii="Times New Roman" w:hAnsi="Times New Roman" w:eastAsia="宋体" w:cs="Times New Roman"/>
        </w:rPr>
        <w:t>条“</w:t>
      </w:r>
      <w:r>
        <w:rPr>
          <w:rFonts w:hint="default" w:ascii="Times New Roman" w:hAnsi="Times New Roman" w:eastAsia="宋体" w:cs="Times New Roman"/>
          <w:lang w:val="en-US" w:eastAsia="zh-CN"/>
        </w:rPr>
        <w:t>公路及道路运输（含城市客运）</w:t>
      </w:r>
      <w:r>
        <w:rPr>
          <w:rFonts w:hint="default" w:ascii="Times New Roman" w:hAnsi="Times New Roman" w:eastAsia="宋体" w:cs="Times New Roman"/>
        </w:rPr>
        <w:t>”中第</w:t>
      </w:r>
      <w:r>
        <w:rPr>
          <w:rFonts w:hint="default" w:ascii="Times New Roman" w:hAnsi="Times New Roman" w:eastAsia="宋体" w:cs="Times New Roman"/>
          <w:lang w:val="en-US" w:eastAsia="zh-CN"/>
        </w:rPr>
        <w:t>2</w:t>
      </w:r>
      <w:r>
        <w:rPr>
          <w:rFonts w:hint="default" w:ascii="Times New Roman" w:hAnsi="Times New Roman" w:eastAsia="宋体" w:cs="Times New Roman"/>
        </w:rPr>
        <w:t>条“国省干线改造升级”之要求，为鼓励类。</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本项目为等级公路建设项目，占地235.2亩，根据建设单位提供资料，项目占地为旱地</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林地</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农田</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荒地</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河道</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宅基地</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旧路占地。2021年7月26日，渠县自然资源局出具了《关于渠县临巴镇绕场镇改线工程</w:t>
      </w:r>
      <w:r>
        <w:rPr>
          <w:rFonts w:hint="default" w:ascii="Times New Roman" w:hAnsi="Times New Roman" w:eastAsia="宋体" w:cs="Times New Roman"/>
        </w:rPr>
        <w:t>项目</w:t>
      </w:r>
      <w:r>
        <w:rPr>
          <w:rFonts w:hint="default" w:ascii="Times New Roman" w:hAnsi="Times New Roman" w:eastAsia="宋体" w:cs="Times New Roman"/>
          <w:lang w:val="en-US" w:eastAsia="zh-CN"/>
        </w:rPr>
        <w:t>规划选址和用地预审意见的复函》渠自然资函〔2021〕342号，函复：本项目不涉及占用永久基本农田，不影响临巴镇场镇规划；</w:t>
      </w:r>
      <w:r>
        <w:rPr>
          <w:rFonts w:hint="default" w:ascii="Times New Roman" w:hAnsi="Times New Roman" w:eastAsia="宋体" w:cs="Times New Roman"/>
        </w:rPr>
        <w:t>根据《限制用地项目目录》（2012年本）</w:t>
      </w:r>
      <w:r>
        <w:rPr>
          <w:rFonts w:hint="eastAsia" w:ascii="Times New Roman" w:hAnsi="Times New Roman" w:eastAsia="宋体" w:cs="Times New Roman"/>
          <w:lang w:eastAsia="zh-CN"/>
        </w:rPr>
        <w:t>、</w:t>
      </w:r>
      <w:r>
        <w:rPr>
          <w:rFonts w:hint="default" w:ascii="Times New Roman" w:hAnsi="Times New Roman" w:eastAsia="宋体" w:cs="Times New Roman"/>
        </w:rPr>
        <w:t>《禁止用地项目目录》（2012年本），本项目的建设不属于限制用地和禁止用地范围。</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202</w:t>
      </w:r>
      <w:r>
        <w:rPr>
          <w:rFonts w:hint="default" w:ascii="Times New Roman" w:hAnsi="Times New Roman" w:eastAsia="宋体" w:cs="Times New Roman"/>
          <w:lang w:val="en-US" w:eastAsia="zh-CN"/>
        </w:rPr>
        <w:t>1</w:t>
      </w:r>
      <w:r>
        <w:rPr>
          <w:rFonts w:hint="default" w:ascii="Times New Roman" w:hAnsi="Times New Roman" w:eastAsia="宋体" w:cs="Times New Roman"/>
        </w:rPr>
        <w:t>年</w:t>
      </w:r>
      <w:r>
        <w:rPr>
          <w:rFonts w:hint="default" w:ascii="Times New Roman" w:hAnsi="Times New Roman" w:eastAsia="宋体" w:cs="Times New Roman"/>
          <w:lang w:val="en-US" w:eastAsia="zh-CN"/>
        </w:rPr>
        <w:t>3</w:t>
      </w:r>
      <w:r>
        <w:rPr>
          <w:rFonts w:hint="default" w:ascii="Times New Roman" w:hAnsi="Times New Roman" w:eastAsia="宋体" w:cs="Times New Roman"/>
        </w:rPr>
        <w:t>月2</w:t>
      </w:r>
      <w:r>
        <w:rPr>
          <w:rFonts w:hint="default" w:ascii="Times New Roman" w:hAnsi="Times New Roman" w:eastAsia="宋体" w:cs="Times New Roman"/>
          <w:lang w:val="en-US" w:eastAsia="zh-CN"/>
        </w:rPr>
        <w:t>5</w:t>
      </w:r>
      <w:r>
        <w:rPr>
          <w:rFonts w:hint="default" w:ascii="Times New Roman" w:hAnsi="Times New Roman" w:eastAsia="宋体" w:cs="Times New Roman"/>
        </w:rPr>
        <w:t>日，</w:t>
      </w:r>
      <w:r>
        <w:rPr>
          <w:rFonts w:hint="default" w:ascii="Times New Roman" w:hAnsi="Times New Roman" w:eastAsia="宋体" w:cs="Times New Roman"/>
          <w:lang w:val="en-US" w:eastAsia="zh-CN"/>
        </w:rPr>
        <w:t>渠</w:t>
      </w:r>
      <w:r>
        <w:rPr>
          <w:rFonts w:hint="default" w:ascii="Times New Roman" w:hAnsi="Times New Roman" w:eastAsia="宋体" w:cs="Times New Roman"/>
        </w:rPr>
        <w:t>县发展和改革局出具了《关于</w:t>
      </w:r>
      <w:r>
        <w:rPr>
          <w:rFonts w:hint="default" w:ascii="Times New Roman" w:hAnsi="Times New Roman" w:eastAsia="宋体" w:cs="Times New Roman"/>
          <w:lang w:val="en-US" w:eastAsia="zh-CN"/>
        </w:rPr>
        <w:t>渠县临巴镇绕场镇改线工程</w:t>
      </w:r>
      <w:r>
        <w:rPr>
          <w:rFonts w:hint="default" w:ascii="Times New Roman" w:hAnsi="Times New Roman" w:eastAsia="宋体" w:cs="Times New Roman"/>
        </w:rPr>
        <w:t>项目可行性研究报告</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代项目建议书</w:t>
      </w:r>
      <w:r>
        <w:rPr>
          <w:rFonts w:hint="default" w:ascii="Times New Roman" w:hAnsi="Times New Roman" w:eastAsia="宋体" w:cs="Times New Roman"/>
          <w:lang w:eastAsia="zh-CN"/>
        </w:rPr>
        <w:t>）</w:t>
      </w:r>
      <w:r>
        <w:rPr>
          <w:rFonts w:hint="default" w:ascii="Times New Roman" w:hAnsi="Times New Roman" w:eastAsia="宋体" w:cs="Times New Roman"/>
        </w:rPr>
        <w:t>的批复》</w:t>
      </w:r>
      <w:r>
        <w:rPr>
          <w:rFonts w:hint="default" w:ascii="Times New Roman" w:hAnsi="Times New Roman" w:eastAsia="宋体" w:cs="Times New Roman"/>
          <w:lang w:val="en-US" w:eastAsia="zh-CN"/>
        </w:rPr>
        <w:t>渠</w:t>
      </w:r>
      <w:r>
        <w:rPr>
          <w:rFonts w:hint="default" w:ascii="Times New Roman" w:hAnsi="Times New Roman" w:eastAsia="宋体" w:cs="Times New Roman"/>
        </w:rPr>
        <w:t>发改</w:t>
      </w:r>
      <w:r>
        <w:rPr>
          <w:rFonts w:hint="default" w:ascii="Times New Roman" w:hAnsi="Times New Roman" w:eastAsia="宋体" w:cs="Times New Roman"/>
          <w:lang w:val="en-US" w:eastAsia="zh-CN"/>
        </w:rPr>
        <w:t>审</w:t>
      </w:r>
      <w:r>
        <w:rPr>
          <w:rFonts w:hint="default" w:ascii="Times New Roman" w:hAnsi="Times New Roman" w:eastAsia="宋体" w:cs="Times New Roman"/>
          <w:lang w:eastAsia="zh-CN"/>
        </w:rPr>
        <w:t>〔</w:t>
      </w:r>
      <w:r>
        <w:rPr>
          <w:rFonts w:hint="default" w:ascii="Times New Roman" w:hAnsi="Times New Roman" w:eastAsia="宋体" w:cs="Times New Roman"/>
        </w:rPr>
        <w:t>202</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106</w:t>
      </w:r>
      <w:r>
        <w:rPr>
          <w:rFonts w:hint="default" w:ascii="Times New Roman" w:hAnsi="Times New Roman" w:eastAsia="宋体" w:cs="Times New Roman"/>
        </w:rPr>
        <w:t>号批准项目实施。</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因此，本项目建设符合国家和地方现行产业政策。</w:t>
      </w:r>
    </w:p>
    <w:p>
      <w:pPr>
        <w:pStyle w:val="24"/>
        <w:spacing w:line="360" w:lineRule="auto"/>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b w:val="0"/>
          <w:bCs w:val="0"/>
          <w:sz w:val="24"/>
          <w:szCs w:val="24"/>
          <w:highlight w:val="none"/>
          <w:u w:val="none"/>
          <w:lang w:val="en-US" w:eastAsia="zh-CN"/>
        </w:rPr>
        <w:t>建设项目与《渠县“十四五”</w:t>
      </w:r>
      <w:r>
        <w:rPr>
          <w:rFonts w:hint="default" w:ascii="Times New Roman" w:hAnsi="Times New Roman" w:eastAsia="宋体" w:cs="Times New Roman"/>
          <w:sz w:val="24"/>
          <w:szCs w:val="24"/>
          <w:lang w:val="en-US" w:eastAsia="zh-CN"/>
        </w:rPr>
        <w:t>综合交通运输发展规划》</w:t>
      </w:r>
      <w:r>
        <w:rPr>
          <w:rFonts w:hint="default" w:ascii="Times New Roman" w:hAnsi="Times New Roman" w:eastAsia="宋体" w:cs="Times New Roman"/>
          <w:b w:val="0"/>
          <w:bCs w:val="0"/>
          <w:sz w:val="24"/>
          <w:szCs w:val="24"/>
          <w:highlight w:val="none"/>
          <w:u w:val="none"/>
          <w:lang w:val="en-US" w:eastAsia="zh-CN"/>
        </w:rPr>
        <w:t>符合性</w:t>
      </w:r>
    </w:p>
    <w:p>
      <w:pPr>
        <w:pStyle w:val="24"/>
        <w:spacing w:line="360" w:lineRule="auto"/>
        <w:ind w:firstLine="480" w:firstLineChars="200"/>
        <w:rPr>
          <w:rFonts w:hint="default" w:ascii="Times New Roman" w:hAnsi="Times New Roman" w:eastAsia="宋体" w:cs="Times New Roman"/>
          <w:b w:val="0"/>
          <w:bCs w:val="0"/>
          <w:color w:val="auto"/>
          <w:kern w:val="2"/>
          <w:sz w:val="24"/>
          <w:szCs w:val="24"/>
          <w:highlight w:val="none"/>
          <w:u w:val="none"/>
        </w:rPr>
      </w:pPr>
      <w:r>
        <w:rPr>
          <w:rFonts w:hint="default" w:ascii="Times New Roman" w:hAnsi="Times New Roman" w:eastAsia="宋体" w:cs="Times New Roman"/>
          <w:b w:val="0"/>
          <w:bCs w:val="0"/>
          <w:color w:val="auto"/>
          <w:kern w:val="2"/>
          <w:sz w:val="24"/>
          <w:szCs w:val="24"/>
          <w:highlight w:val="none"/>
          <w:u w:val="none"/>
        </w:rPr>
        <w:t>渠县“十四五”交通运输规划的总体思想为：继续以渠县确定的发展大交通为主攻方向，以建设四川东出北上综合交通枢纽重要节点为目标，全面融入“一干多支，五区协同”发展大格局的要求，努力构建综合公</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铁</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水</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空的“1-2-3-4-5-6-30”立体交通格局，结合产业</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旅游及乡村振兴，围绕四好公路建设，进一步完善提升农村公路路网结构，优化高速</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铁路</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水运与地方路网的互联互通，十四五末期，为渠县打造内联外畅，融入“一圈一区”一小时交通圈，县域内“30分钟经济圈”的综合交通体系，为打造东出北上综合交通枢纽核心节点，提升渠县区域地位抢的先机条件。为县委确定的2025年经济总量冲刺700亿</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2035年城市规模建成“双70”开好局起好步，为加快实现渠县“三个定位”，争当助推达州“创副”排头兵奠定坚实基础。</w:t>
      </w:r>
    </w:p>
    <w:p>
      <w:pPr>
        <w:pStyle w:val="24"/>
        <w:spacing w:line="360" w:lineRule="auto"/>
        <w:ind w:firstLine="480" w:firstLineChars="200"/>
        <w:rPr>
          <w:rFonts w:hint="default" w:ascii="Times New Roman" w:hAnsi="Times New Roman" w:eastAsia="宋体" w:cs="Times New Roman"/>
          <w:b w:val="0"/>
          <w:bCs w:val="0"/>
          <w:color w:val="auto"/>
          <w:kern w:val="2"/>
          <w:sz w:val="24"/>
          <w:szCs w:val="24"/>
          <w:highlight w:val="none"/>
          <w:u w:val="none"/>
        </w:rPr>
      </w:pPr>
      <w:r>
        <w:rPr>
          <w:rFonts w:hint="default" w:ascii="Times New Roman" w:hAnsi="Times New Roman" w:eastAsia="宋体" w:cs="Times New Roman"/>
          <w:b w:val="0"/>
          <w:bCs w:val="0"/>
          <w:color w:val="auto"/>
          <w:kern w:val="2"/>
          <w:sz w:val="24"/>
          <w:szCs w:val="24"/>
          <w:highlight w:val="none"/>
          <w:u w:val="none"/>
        </w:rPr>
        <w:t>本项目位于渠县东部，是区域重要场镇临巴镇的重要场镇过境道路，也是区域重要干线道S203线的重要组成路段。项目区位于渠江东岸，华蓥山西麓，受地理位置影响，渠江东岸地区形成较为独特的交通格局，区域场镇建设及经济活动主要分布于远期S203线走廊带沿线，S203线的建设将是带动渠县渠江东岸地区的重要举措。本项目作为S203线的重要路段，是S203线建设的先期尝试，将为全县S203线的全线开展建设提供宝贵经验，同时也是构建渠县打造内联外畅，融入“一圈一区”一小时交通圈，县域内“30 分钟经济圈”的综合交通体系目标的重要体现。</w:t>
      </w:r>
    </w:p>
    <w:p>
      <w:pPr>
        <w:pStyle w:val="24"/>
        <w:spacing w:line="360" w:lineRule="auto"/>
        <w:ind w:firstLine="480" w:firstLineChars="200"/>
        <w:rPr>
          <w:rFonts w:hint="default" w:ascii="Times New Roman" w:hAnsi="Times New Roman" w:eastAsia="宋体" w:cs="Times New Roman"/>
          <w:b w:val="0"/>
          <w:bCs w:val="0"/>
          <w:color w:val="auto"/>
          <w:kern w:val="2"/>
          <w:sz w:val="24"/>
          <w:szCs w:val="24"/>
          <w:highlight w:val="none"/>
          <w:u w:val="none"/>
          <w:lang w:val="en-US" w:eastAsia="zh-CN"/>
        </w:rPr>
      </w:pPr>
      <w:r>
        <w:rPr>
          <w:rFonts w:hint="default" w:ascii="Times New Roman" w:hAnsi="Times New Roman" w:eastAsia="宋体" w:cs="Times New Roman"/>
          <w:b w:val="0"/>
          <w:bCs w:val="0"/>
          <w:color w:val="auto"/>
          <w:kern w:val="2"/>
          <w:sz w:val="24"/>
          <w:szCs w:val="24"/>
          <w:highlight w:val="none"/>
          <w:u w:val="none"/>
          <w:lang w:val="en-US" w:eastAsia="zh-CN"/>
        </w:rPr>
        <w:t>综上，本项目符合渠县“十四五”交通运输规划的需要。</w:t>
      </w:r>
    </w:p>
    <w:p>
      <w:pPr>
        <w:pStyle w:val="24"/>
        <w:spacing w:line="360" w:lineRule="auto"/>
        <w:ind w:firstLine="0" w:firstLineChars="0"/>
        <w:rPr>
          <w:rFonts w:hint="default" w:ascii="Times New Roman" w:hAnsi="Times New Roman" w:eastAsia="宋体" w:cs="Times New Roman"/>
          <w:b w:val="0"/>
          <w:bCs w:val="0"/>
          <w:color w:val="auto"/>
          <w:kern w:val="2"/>
          <w:sz w:val="24"/>
          <w:szCs w:val="24"/>
          <w:highlight w:val="none"/>
          <w:u w:val="none"/>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b w:val="0"/>
          <w:bCs w:val="0"/>
          <w:color w:val="auto"/>
          <w:kern w:val="2"/>
          <w:sz w:val="24"/>
          <w:szCs w:val="24"/>
          <w:highlight w:val="none"/>
          <w:u w:val="none"/>
          <w:lang w:val="en-US" w:eastAsia="zh-CN"/>
        </w:rPr>
        <w:t>建设项目与风洞子航电枢纽符合性</w:t>
      </w:r>
    </w:p>
    <w:p>
      <w:pPr>
        <w:pStyle w:val="24"/>
        <w:spacing w:line="360" w:lineRule="auto"/>
        <w:ind w:firstLine="480" w:firstLineChars="200"/>
        <w:rPr>
          <w:rFonts w:hint="default" w:ascii="Times New Roman" w:hAnsi="Times New Roman" w:eastAsia="宋体" w:cs="Times New Roman"/>
          <w:b w:val="0"/>
          <w:bCs w:val="0"/>
          <w:color w:val="auto"/>
          <w:kern w:val="2"/>
          <w:sz w:val="24"/>
          <w:szCs w:val="24"/>
          <w:highlight w:val="none"/>
          <w:u w:val="none"/>
        </w:rPr>
      </w:pPr>
      <w:r>
        <w:rPr>
          <w:rFonts w:hint="default" w:ascii="Times New Roman" w:hAnsi="Times New Roman" w:eastAsia="宋体" w:cs="Times New Roman"/>
          <w:b w:val="0"/>
          <w:bCs w:val="0"/>
          <w:color w:val="auto"/>
          <w:kern w:val="2"/>
          <w:sz w:val="24"/>
          <w:szCs w:val="24"/>
          <w:highlight w:val="none"/>
          <w:u w:val="none"/>
        </w:rPr>
        <w:t>渠江是嘉陵江下游左岸最大支流，水力资源丰富，是四川省规划的“5+2”航道体系中的重要航运干线之一，其建设已纳入四川省构建长江经济带综合立体交通走廊规划的重点项目。渠县渠江风洞子航运工程是渠江</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达州至广安段</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航运发展规划六级开发方案的第三级，项目总投资约45亿元，位于渠县县城上游锡溪河段，下接凉滩枢纽，上接舵石鼓枢纽。工程涉及渠县李馥镇</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临巴镇</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合力镇</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渠北镇</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渠江街道</w:t>
      </w:r>
      <w:r>
        <w:rPr>
          <w:rFonts w:hint="eastAsia"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color w:val="auto"/>
          <w:kern w:val="2"/>
          <w:sz w:val="24"/>
          <w:szCs w:val="24"/>
          <w:highlight w:val="none"/>
          <w:u w:val="none"/>
        </w:rPr>
        <w:t>天星街道等地。该项目的建设将完成渠江航道等级提升，作为全省内河水运建设的重要组成部分，其建设将实现360</w:t>
      </w:r>
      <w:r>
        <w:rPr>
          <w:rFonts w:hint="default" w:ascii="Times New Roman" w:hAnsi="Times New Roman" w:eastAsia="宋体" w:cs="Times New Roman"/>
          <w:b w:val="0"/>
          <w:bCs w:val="0"/>
          <w:color w:val="auto"/>
          <w:kern w:val="2"/>
          <w:sz w:val="24"/>
          <w:szCs w:val="24"/>
          <w:highlight w:val="none"/>
          <w:u w:val="none"/>
          <w:lang w:val="en-US" w:eastAsia="zh-CN"/>
        </w:rPr>
        <w:t>km</w:t>
      </w:r>
      <w:r>
        <w:rPr>
          <w:rFonts w:hint="default" w:ascii="Times New Roman" w:hAnsi="Times New Roman" w:eastAsia="宋体" w:cs="Times New Roman"/>
          <w:b w:val="0"/>
          <w:bCs w:val="0"/>
          <w:color w:val="auto"/>
          <w:kern w:val="2"/>
          <w:sz w:val="24"/>
          <w:szCs w:val="24"/>
          <w:highlight w:val="none"/>
          <w:u w:val="none"/>
        </w:rPr>
        <w:t>渠江干流航道的渠化，消除南阳滩老旧枢纽的安全隐患，扫除渠江高等级航道建设的障碍，有利于全省水运建设目标的实现，使全省内河航道网络更趋完善。目前该项目的建设正在稳步推进之中。</w:t>
      </w:r>
    </w:p>
    <w:p>
      <w:pPr>
        <w:pStyle w:val="24"/>
        <w:spacing w:line="360" w:lineRule="auto"/>
        <w:ind w:firstLine="480" w:firstLineChars="200"/>
        <w:rPr>
          <w:rFonts w:hint="default" w:ascii="Times New Roman" w:hAnsi="Times New Roman" w:eastAsia="宋体" w:cs="Times New Roman"/>
          <w:b w:val="0"/>
          <w:bCs w:val="0"/>
          <w:color w:val="auto"/>
          <w:kern w:val="2"/>
          <w:sz w:val="24"/>
          <w:szCs w:val="24"/>
          <w:highlight w:val="none"/>
          <w:u w:val="none"/>
        </w:rPr>
      </w:pPr>
      <w:r>
        <w:rPr>
          <w:rFonts w:hint="default" w:ascii="Times New Roman" w:hAnsi="Times New Roman" w:eastAsia="宋体" w:cs="Times New Roman"/>
          <w:b w:val="0"/>
          <w:bCs w:val="0"/>
          <w:color w:val="auto"/>
          <w:kern w:val="2"/>
          <w:sz w:val="24"/>
          <w:szCs w:val="24"/>
          <w:highlight w:val="none"/>
          <w:u w:val="none"/>
        </w:rPr>
        <w:t>受远期风洞子航电枢纽蓄水位影响，现有临巴场镇大部分区域将处于淹没区域。最新临巴场镇规划已经进行了对应调整，主体功能区调整至南侧高地。现有的XS26线是区域南北向最重要的通道，现状道路穿越临巴场镇内部，部分路段标高过低，一旦远期风洞子航电枢纽正常蓄水，现有道路XS26线将可能受到水库蓄水的不利影响阻碍区域物流运输。</w:t>
      </w:r>
    </w:p>
    <w:p>
      <w:pPr>
        <w:pStyle w:val="24"/>
        <w:spacing w:line="360" w:lineRule="auto"/>
        <w:ind w:firstLine="480" w:firstLineChars="200"/>
        <w:rPr>
          <w:rFonts w:hint="default" w:ascii="Times New Roman" w:hAnsi="Times New Roman" w:eastAsia="宋体" w:cs="Times New Roman"/>
          <w:b w:val="0"/>
          <w:bCs w:val="0"/>
          <w:sz w:val="24"/>
          <w:szCs w:val="24"/>
          <w:highlight w:val="none"/>
          <w:u w:val="single"/>
          <w:lang w:val="en-US" w:eastAsia="zh-CN"/>
        </w:rPr>
      </w:pPr>
      <w:r>
        <w:rPr>
          <w:rFonts w:hint="default" w:ascii="Times New Roman" w:hAnsi="Times New Roman" w:eastAsia="宋体" w:cs="Times New Roman"/>
          <w:b w:val="0"/>
          <w:bCs w:val="0"/>
          <w:color w:val="auto"/>
          <w:kern w:val="2"/>
          <w:sz w:val="24"/>
          <w:szCs w:val="24"/>
          <w:highlight w:val="none"/>
          <w:u w:val="none"/>
          <w:lang w:val="en-US" w:eastAsia="zh-CN"/>
        </w:rPr>
        <w:t>综上，本项目符合解决风洞子航电枢纽淹没临巴场镇阻碍交通的需要。</w:t>
      </w:r>
    </w:p>
    <w:p>
      <w:pPr>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b w:val="0"/>
          <w:bCs w:val="0"/>
          <w:sz w:val="24"/>
          <w:szCs w:val="24"/>
          <w:highlight w:val="none"/>
        </w:rPr>
        <w:t>项目建设“三线一单”符合性</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rPr>
      </w:pPr>
      <w:r>
        <w:rPr>
          <w:rFonts w:hint="eastAsia" w:ascii="Times New Roman" w:hAnsi="Times New Roman" w:cs="Times New Roman"/>
          <w:b w:val="0"/>
          <w:bCs w:val="0"/>
          <w:sz w:val="24"/>
          <w:szCs w:val="24"/>
          <w:lang w:val="en-US" w:eastAsia="zh-CN"/>
        </w:rPr>
        <w:t>查阅四川省</w:t>
      </w:r>
      <w:r>
        <w:rPr>
          <w:rFonts w:hint="default" w:ascii="Times New Roman" w:hAnsi="Times New Roman" w:eastAsia="宋体" w:cs="Times New Roman"/>
          <w:b w:val="0"/>
          <w:bCs w:val="0"/>
          <w:sz w:val="24"/>
          <w:szCs w:val="24"/>
          <w:highlight w:val="none"/>
        </w:rPr>
        <w:t>“三线一单”符合性</w:t>
      </w:r>
      <w:r>
        <w:rPr>
          <w:rFonts w:hint="eastAsia" w:ascii="Times New Roman" w:hAnsi="Times New Roman" w:cs="Times New Roman"/>
          <w:b w:val="0"/>
          <w:bCs w:val="0"/>
          <w:sz w:val="24"/>
          <w:szCs w:val="24"/>
          <w:highlight w:val="none"/>
          <w:lang w:val="en-US" w:eastAsia="zh-CN"/>
        </w:rPr>
        <w:t>分析结果（https://tftb.sczwfw.gov.cn:8085/hos-server/pub/jmas/jmasbucket/jmopen_files/webapp/html5/sxydctfx/index.html?areaCode=510000000000），本项目</w:t>
      </w:r>
      <w:r>
        <w:rPr>
          <w:rFonts w:hint="eastAsia" w:ascii="宋体" w:hAnsi="宋体" w:eastAsia="宋体"/>
        </w:rPr>
        <w:t>涉及到环境管控单元</w:t>
      </w:r>
      <w:r>
        <w:rPr>
          <w:rFonts w:hint="eastAsia" w:ascii="仿宋_GB2312" w:hAnsi="宋体" w:eastAsia="仿宋_GB2312"/>
          <w:sz w:val="24"/>
        </w:rPr>
        <w:t>4</w:t>
      </w:r>
      <w:r>
        <w:rPr>
          <w:rFonts w:hint="eastAsia" w:ascii="宋体" w:hAnsi="宋体" w:eastAsia="宋体"/>
        </w:rPr>
        <w:t>个，涉及到管控单元见</w:t>
      </w:r>
      <w:r>
        <w:rPr>
          <w:rFonts w:hint="eastAsia"/>
          <w:lang w:val="en-US" w:eastAsia="zh-CN"/>
        </w:rPr>
        <w:t>表1.5-2，生态环境准入清单见</w:t>
      </w:r>
      <w:r>
        <w:rPr>
          <w:rFonts w:hint="eastAsia" w:ascii="宋体" w:hAnsi="宋体" w:eastAsia="宋体"/>
        </w:rPr>
        <w:t>表</w:t>
      </w:r>
      <w:r>
        <w:rPr>
          <w:rFonts w:hint="eastAsia"/>
          <w:lang w:val="en-US" w:eastAsia="zh-CN"/>
        </w:rPr>
        <w:t>1.5-3</w:t>
      </w:r>
      <w:r>
        <w:rPr>
          <w:rFonts w:hint="eastAsia" w:ascii="宋体" w:hAnsi="宋体" w:eastAsia="宋体"/>
        </w:rPr>
        <w:t>。</w:t>
      </w:r>
    </w:p>
    <w:p>
      <w:pPr>
        <w:keepNext w:val="0"/>
        <w:keepLines w:val="0"/>
        <w:pageBreakBefore w:val="0"/>
        <w:widowControl w:val="0"/>
        <w:kinsoku/>
        <w:wordWrap/>
        <w:overflowPunct/>
        <w:topLinePunct w:val="0"/>
        <w:autoSpaceDE w:val="0"/>
        <w:autoSpaceDN w:val="0"/>
        <w:bidi w:val="0"/>
        <w:adjustRightInd/>
        <w:snapToGrid/>
        <w:spacing w:before="0" w:after="0"/>
        <w:ind w:left="0" w:right="0" w:firstLine="0"/>
        <w:jc w:val="center"/>
        <w:textAlignment w:val="auto"/>
        <w:rPr>
          <w:rFonts w:hint="default" w:ascii="Times New Roman" w:hAnsi="Times New Roman" w:eastAsia="宋体" w:cs="Times New Roman"/>
          <w:b/>
          <w:spacing w:val="-26"/>
          <w:sz w:val="21"/>
          <w:lang w:val="en-US" w:eastAsia="zh-CN"/>
        </w:rPr>
      </w:pPr>
      <w:r>
        <w:rPr>
          <w:rFonts w:hint="default" w:ascii="Times New Roman" w:hAnsi="Times New Roman" w:cs="Times New Roman"/>
          <w:b/>
          <w:spacing w:val="-1"/>
          <w:sz w:val="21"/>
          <w:lang w:val="en-US" w:eastAsia="zh-CN"/>
        </w:rPr>
        <w:t>表</w:t>
      </w:r>
      <w:r>
        <w:rPr>
          <w:rFonts w:hint="default" w:ascii="Times New Roman" w:hAnsi="Times New Roman" w:eastAsia="Times New Roman" w:cs="Times New Roman"/>
          <w:b/>
          <w:sz w:val="21"/>
          <w:lang w:val="en-US" w:eastAsia="zh-CN"/>
        </w:rPr>
        <w:t>1.5</w:t>
      </w:r>
      <w:r>
        <w:rPr>
          <w:rFonts w:hint="eastAsia" w:ascii="Times New Roman" w:hAnsi="Times New Roman" w:eastAsia="Times New Roman" w:cs="Times New Roman"/>
          <w:b/>
          <w:sz w:val="21"/>
          <w:lang w:val="en-US" w:eastAsia="zh-CN"/>
        </w:rPr>
        <w:t>-</w:t>
      </w:r>
      <w:r>
        <w:rPr>
          <w:rFonts w:hint="default" w:ascii="Times New Roman" w:hAnsi="Times New Roman" w:eastAsia="Times New Roman" w:cs="Times New Roman"/>
          <w:b/>
          <w:sz w:val="21"/>
          <w:lang w:val="en-US" w:eastAsia="zh-CN"/>
        </w:rPr>
        <w:t xml:space="preserve">2 </w:t>
      </w:r>
      <w:r>
        <w:rPr>
          <w:rFonts w:hint="default" w:ascii="Times New Roman" w:hAnsi="Times New Roman" w:cs="Times New Roman"/>
          <w:b/>
          <w:spacing w:val="-1"/>
          <w:sz w:val="21"/>
          <w:lang w:val="en-US" w:eastAsia="zh-CN"/>
        </w:rPr>
        <w:t>项目</w:t>
      </w:r>
      <w:r>
        <w:rPr>
          <w:rFonts w:hint="default" w:ascii="Times New Roman" w:hAnsi="Times New Roman" w:cs="Times New Roman"/>
          <w:b/>
          <w:spacing w:val="-1"/>
          <w:sz w:val="21"/>
        </w:rPr>
        <w:t>“三线一单”符合性</w:t>
      </w:r>
      <w:r>
        <w:rPr>
          <w:rFonts w:hint="default" w:ascii="Times New Roman" w:hAnsi="Times New Roman" w:cs="Times New Roman"/>
          <w:b/>
          <w:spacing w:val="-1"/>
          <w:sz w:val="21"/>
          <w:lang w:val="en-US" w:eastAsia="zh-CN"/>
        </w:rPr>
        <w:t>分析结果</w:t>
      </w:r>
    </w:p>
    <w:tbl>
      <w:tblPr>
        <w:tblStyle w:val="17"/>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731"/>
        <w:gridCol w:w="1282"/>
        <w:gridCol w:w="964"/>
        <w:gridCol w:w="1649"/>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9" w:type="pct"/>
            <w:noWrap w:val="0"/>
            <w:vAlign w:val="center"/>
          </w:tcPr>
          <w:p>
            <w:pPr>
              <w:widowControl/>
              <w:spacing w:line="240" w:lineRule="auto"/>
              <w:ind w:firstLine="0" w:firstLineChars="0"/>
              <w:jc w:val="center"/>
              <w:rPr>
                <w:rStyle w:val="19"/>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环境管控单元编码</w:t>
            </w:r>
          </w:p>
        </w:tc>
        <w:tc>
          <w:tcPr>
            <w:tcW w:w="986" w:type="pct"/>
            <w:noWrap w:val="0"/>
            <w:vAlign w:val="center"/>
          </w:tcPr>
          <w:p>
            <w:pPr>
              <w:widowControl/>
              <w:spacing w:line="240" w:lineRule="auto"/>
              <w:ind w:firstLine="0" w:firstLineChars="0"/>
              <w:jc w:val="center"/>
              <w:rPr>
                <w:rStyle w:val="19"/>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环境管控单元名称</w:t>
            </w:r>
          </w:p>
        </w:tc>
        <w:tc>
          <w:tcPr>
            <w:tcW w:w="743" w:type="pct"/>
            <w:noWrap w:val="0"/>
            <w:vAlign w:val="center"/>
          </w:tcPr>
          <w:p>
            <w:pPr>
              <w:widowControl/>
              <w:spacing w:line="240" w:lineRule="auto"/>
              <w:ind w:firstLine="0" w:firstLineChars="0"/>
              <w:jc w:val="center"/>
              <w:rPr>
                <w:rStyle w:val="19"/>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所属城市</w:t>
            </w:r>
          </w:p>
        </w:tc>
        <w:tc>
          <w:tcPr>
            <w:tcW w:w="571" w:type="pct"/>
            <w:noWrap w:val="0"/>
            <w:vAlign w:val="center"/>
          </w:tcPr>
          <w:p>
            <w:pPr>
              <w:widowControl/>
              <w:spacing w:line="240" w:lineRule="auto"/>
              <w:ind w:firstLine="0" w:firstLineChars="0"/>
              <w:jc w:val="center"/>
              <w:rPr>
                <w:rStyle w:val="19"/>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所属区县</w:t>
            </w:r>
          </w:p>
        </w:tc>
        <w:tc>
          <w:tcPr>
            <w:tcW w:w="941" w:type="pct"/>
            <w:noWrap w:val="0"/>
            <w:vAlign w:val="center"/>
          </w:tcPr>
          <w:p>
            <w:pPr>
              <w:widowControl/>
              <w:spacing w:line="240" w:lineRule="auto"/>
              <w:ind w:firstLine="0" w:firstLineChars="0"/>
              <w:jc w:val="center"/>
              <w:rPr>
                <w:rStyle w:val="19"/>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准入清单类型</w:t>
            </w:r>
          </w:p>
        </w:tc>
        <w:tc>
          <w:tcPr>
            <w:tcW w:w="1009" w:type="pct"/>
            <w:noWrap w:val="0"/>
            <w:vAlign w:val="center"/>
          </w:tcPr>
          <w:p>
            <w:pPr>
              <w:widowControl/>
              <w:spacing w:line="240" w:lineRule="auto"/>
              <w:ind w:firstLine="0" w:firstLineChars="0"/>
              <w:jc w:val="center"/>
              <w:rPr>
                <w:rStyle w:val="19"/>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9"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ZH51172530001</w:t>
            </w:r>
          </w:p>
        </w:tc>
        <w:tc>
          <w:tcPr>
            <w:tcW w:w="986"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渠县一般管控单元</w:t>
            </w:r>
          </w:p>
        </w:tc>
        <w:tc>
          <w:tcPr>
            <w:tcW w:w="743"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达州市</w:t>
            </w:r>
          </w:p>
        </w:tc>
        <w:tc>
          <w:tcPr>
            <w:tcW w:w="571"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渠县</w:t>
            </w:r>
          </w:p>
        </w:tc>
        <w:tc>
          <w:tcPr>
            <w:tcW w:w="941"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环境综合</w:t>
            </w:r>
          </w:p>
        </w:tc>
        <w:tc>
          <w:tcPr>
            <w:tcW w:w="1009"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9"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YS5117253210001</w:t>
            </w:r>
          </w:p>
        </w:tc>
        <w:tc>
          <w:tcPr>
            <w:tcW w:w="986"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渠江渠县团堡岭控制单元</w:t>
            </w:r>
          </w:p>
        </w:tc>
        <w:tc>
          <w:tcPr>
            <w:tcW w:w="743"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达州市</w:t>
            </w:r>
          </w:p>
        </w:tc>
        <w:tc>
          <w:tcPr>
            <w:tcW w:w="571"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渠县</w:t>
            </w:r>
          </w:p>
        </w:tc>
        <w:tc>
          <w:tcPr>
            <w:tcW w:w="941"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水环境分区</w:t>
            </w:r>
          </w:p>
        </w:tc>
        <w:tc>
          <w:tcPr>
            <w:tcW w:w="1009"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9"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YS5117253310001</w:t>
            </w:r>
          </w:p>
        </w:tc>
        <w:tc>
          <w:tcPr>
            <w:tcW w:w="986"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渠县大气环境一般管控区</w:t>
            </w:r>
          </w:p>
        </w:tc>
        <w:tc>
          <w:tcPr>
            <w:tcW w:w="743"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达州市</w:t>
            </w:r>
          </w:p>
        </w:tc>
        <w:tc>
          <w:tcPr>
            <w:tcW w:w="571"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渠县</w:t>
            </w:r>
          </w:p>
        </w:tc>
        <w:tc>
          <w:tcPr>
            <w:tcW w:w="941"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大气环境分区</w:t>
            </w:r>
          </w:p>
        </w:tc>
        <w:tc>
          <w:tcPr>
            <w:tcW w:w="1009"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大气环境一般管控区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9"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YS5117251410006</w:t>
            </w:r>
          </w:p>
        </w:tc>
        <w:tc>
          <w:tcPr>
            <w:tcW w:w="986"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渠县土壤优先保护区</w:t>
            </w:r>
          </w:p>
        </w:tc>
        <w:tc>
          <w:tcPr>
            <w:tcW w:w="743"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达州市</w:t>
            </w:r>
          </w:p>
        </w:tc>
        <w:tc>
          <w:tcPr>
            <w:tcW w:w="571"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渠县</w:t>
            </w:r>
          </w:p>
        </w:tc>
        <w:tc>
          <w:tcPr>
            <w:tcW w:w="941"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土壤环境</w:t>
            </w:r>
          </w:p>
        </w:tc>
        <w:tc>
          <w:tcPr>
            <w:tcW w:w="1009" w:type="pct"/>
            <w:noWrap w:val="0"/>
            <w:vAlign w:val="center"/>
          </w:tcPr>
          <w:p>
            <w:pPr>
              <w:pStyle w:val="32"/>
              <w:widowControl/>
              <w:spacing w:line="240" w:lineRule="auto"/>
              <w:ind w:firstLine="0" w:firstLineChars="0"/>
              <w:jc w:val="center"/>
              <w:rPr>
                <w:rStyle w:val="19"/>
                <w:rFonts w:hint="default" w:ascii="Times New Roman" w:hAnsi="Times New Roman" w:eastAsia="宋体" w:cs="Times New Roman"/>
                <w:kern w:val="2"/>
                <w:sz w:val="21"/>
                <w:szCs w:val="21"/>
                <w:lang w:val="en-US" w:eastAsia="zh-CN" w:bidi="ar-SA"/>
              </w:rPr>
            </w:pPr>
            <w:r>
              <w:rPr>
                <w:rStyle w:val="19"/>
                <w:rFonts w:hint="default" w:ascii="Times New Roman" w:hAnsi="Times New Roman" w:eastAsia="宋体" w:cs="Times New Roman"/>
                <w:kern w:val="2"/>
                <w:sz w:val="21"/>
                <w:szCs w:val="21"/>
                <w:lang w:val="en-US" w:eastAsia="zh-CN" w:bidi="ar-SA"/>
              </w:rPr>
              <w:t>农用地优先保护区</w:t>
            </w:r>
          </w:p>
        </w:tc>
      </w:tr>
    </w:tbl>
    <w:p>
      <w:pPr>
        <w:pStyle w:val="2"/>
        <w:rPr>
          <w:rFonts w:hint="default"/>
          <w:lang w:val="en-US" w:eastAsia="zh-CN"/>
        </w:rPr>
      </w:pPr>
    </w:p>
    <w:p>
      <w:pPr>
        <w:keepLines w:val="0"/>
        <w:pageBreakBefore w:val="0"/>
        <w:widowControl w:val="0"/>
        <w:kinsoku/>
        <w:wordWrap/>
        <w:overflowPunct/>
        <w:topLinePunct w:val="0"/>
        <w:autoSpaceDE w:val="0"/>
        <w:autoSpaceDN w:val="0"/>
        <w:bidi w:val="0"/>
        <w:adjustRightInd w:val="0"/>
        <w:snapToGrid w:val="0"/>
        <w:spacing w:line="240" w:lineRule="auto"/>
        <w:ind w:firstLine="418" w:firstLineChars="200"/>
        <w:jc w:val="center"/>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spacing w:val="-1"/>
          <w:sz w:val="21"/>
          <w:lang w:val="en-US" w:eastAsia="zh-CN"/>
        </w:rPr>
        <w:t>表</w:t>
      </w:r>
      <w:r>
        <w:rPr>
          <w:rFonts w:hint="eastAsia" w:ascii="Times New Roman" w:hAnsi="Times New Roman" w:eastAsia="Times New Roman" w:cs="Times New Roman"/>
          <w:b/>
          <w:sz w:val="21"/>
          <w:lang w:val="en-US" w:eastAsia="zh-CN"/>
        </w:rPr>
        <w:t>1.5-3 生态环境准入清单</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481"/>
        <w:gridCol w:w="1282"/>
        <w:gridCol w:w="735"/>
        <w:gridCol w:w="825"/>
        <w:gridCol w:w="645"/>
        <w:gridCol w:w="4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环境管控单元编码</w:t>
            </w:r>
          </w:p>
        </w:tc>
        <w:tc>
          <w:tcPr>
            <w:tcW w:w="481"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环境管控单元名称</w:t>
            </w:r>
          </w:p>
        </w:tc>
        <w:tc>
          <w:tcPr>
            <w:tcW w:w="1282"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全省总体管控要求</w:t>
            </w:r>
          </w:p>
        </w:tc>
        <w:tc>
          <w:tcPr>
            <w:tcW w:w="735"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川东北经济区总体管控要求</w:t>
            </w:r>
          </w:p>
        </w:tc>
        <w:tc>
          <w:tcPr>
            <w:tcW w:w="825" w:type="dxa"/>
            <w:noWrap w:val="0"/>
            <w:vAlign w:val="top"/>
          </w:tcPr>
          <w:p>
            <w:pPr>
              <w:widowControl w:val="0"/>
              <w:spacing w:line="36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达州市总体管控要求</w:t>
            </w:r>
          </w:p>
        </w:tc>
        <w:tc>
          <w:tcPr>
            <w:tcW w:w="645"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管控类别</w:t>
            </w:r>
          </w:p>
        </w:tc>
        <w:tc>
          <w:tcPr>
            <w:tcW w:w="4438"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单元特性管控要求</w:t>
            </w:r>
          </w:p>
        </w:tc>
      </w:tr>
    </w:tbl>
    <w:tbl>
      <w:tblPr>
        <w:tblStyle w:val="34"/>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77"/>
        <w:gridCol w:w="1283"/>
        <w:gridCol w:w="735"/>
        <w:gridCol w:w="825"/>
        <w:gridCol w:w="645"/>
        <w:gridCol w:w="4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ZH51172530001</w:t>
            </w:r>
          </w:p>
        </w:tc>
        <w:tc>
          <w:tcPr>
            <w:tcW w:w="477"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渠县一般管控单元</w:t>
            </w:r>
          </w:p>
        </w:tc>
        <w:tc>
          <w:tcPr>
            <w:tcW w:w="1283"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restart"/>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空间布局约束</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禁止开发建设活动的要求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限制开发建设活动的要求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允许开发建设活动的要求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不符合空间布局要求活动的退出要求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大气环境布局敏感重点管控区内严控新布局大气污染高排放企业。其他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ZH51172530001</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渠县一般管控单元</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污染物排放管控</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现有源提标升级改造</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新增源等量或倍量替代</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新增源排放标准限值</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污染物排放绩效水平准入要求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大气环境布局敏感重点管控区内，现有大气污染重点企业，限期进行深度治理或关停并转。国电深能四川华蓥山发电有限公司执行超低排放，加强污染治理设施日常运行管理，确保稳定达标排放。华新水泥（渠县）有限公司加强脱硫、脱硝和除尘改造，确保达标达标。渠县德康生猪养殖有限公司加强废水综合整治，确保达标排放。单元内的大气重点管控区执行大气要素重点管控要求。其他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其他污染物排放管控要求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ZH51172530001</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渠县一般管控单元</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环境风险防控</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严格管控类农用地管控要求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单元内土壤优先保护区执行土壤要素优先保护管控要求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安全利用类农用地管控要求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污染地块管控要求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园区环境风险防控要求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企业环境风险防控要求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其他环境风险防控要求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ZH51172530001</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渠县一般管控单元</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资源开发效率要求</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水资源利用效率要求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地下水开采要求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能源利用效率要求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其他资源利用效率要求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YS5117253210001</w:t>
            </w:r>
          </w:p>
        </w:tc>
        <w:tc>
          <w:tcPr>
            <w:tcW w:w="477"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渠江渠县团堡岭控制单元</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空间布局约束</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禁止开发建设活动的要求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限制开发建设活动的要求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允许开发建设活动的要求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不符合空间布局要求活动的退出要求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YS5117253210001</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渠江渠县团堡岭控制单元</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污染物排放管控</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城镇污水污染控制措施要求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工业废水污染控制措施要求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农业面源水污染控制措施要求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船舶港口水污染控制措施要求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饮用水水源和其它特殊水体保护要求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YS5117253210001</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渠江渠县团堡岭控制单元</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环境风险防控</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YS5117253210001</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渠江渠县团堡岭控制单元</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资源开发效率要求</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YS5117253310001</w:t>
            </w:r>
          </w:p>
        </w:tc>
        <w:tc>
          <w:tcPr>
            <w:tcW w:w="477"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渠县大气环境一般管控区</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空间布局约束</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禁止开发建设活动的要求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限制开发建设活动的要求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允许开发建设活动的要求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不符合空间布局要求活动的退出要求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YS5117253310001</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渠县大气环境一般管控区</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污染物排放管控</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大气环境质量执行标准</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《环境空气质量标准》（GB3095-2012）：二级</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区域大气污染物削减/替代要求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燃煤和其他能源大气污染控制要求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工业废气污染控制要求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机动车船大气污染控制要求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扬尘污染控制要求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农业生产经营活动大气污染控制要求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重点行业企业专项治理要求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其他大气污染物排放管控要求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YS5117253310001</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渠县大气环境一般管控区</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环境风险防控</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YS5117253310001</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渠县大气环境一般管控区</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资源开发效率要求</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YS5117251410006</w:t>
            </w:r>
          </w:p>
        </w:tc>
        <w:tc>
          <w:tcPr>
            <w:tcW w:w="477"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渠县土壤优先保护区</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空间布局约束</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禁止开发建设活动的要求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限制开发建设活动的要求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允许开发建设活动的要求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不符合空间布局要求活动的退出要求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YS5117251410006</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渠县土壤优先保护区</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污染物排放管控</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YS5117251410006</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渠县土壤优先保护区</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环境风险防控</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YS5117251410006</w:t>
            </w:r>
          </w:p>
        </w:tc>
        <w:tc>
          <w:tcPr>
            <w:tcW w:w="477"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渠县土壤优先保护区</w:t>
            </w:r>
          </w:p>
        </w:tc>
        <w:tc>
          <w:tcPr>
            <w:tcW w:w="1283"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33"/>
              <w:widowControl/>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735"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控制农村面源污染，提高污水收集处理率，加快乡镇污水处理基础设施建设。建设流域水环境风险联防联控体系。提高大气污染治理水平。</w:t>
            </w:r>
          </w:p>
        </w:tc>
        <w:tc>
          <w:tcPr>
            <w:tcW w:w="825" w:type="dxa"/>
            <w:vMerge w:val="continue"/>
            <w:noWrap w:val="0"/>
            <w:vAlign w:val="top"/>
          </w:tcPr>
          <w:p>
            <w:pPr>
              <w:pStyle w:val="33"/>
              <w:widowControl w:val="0"/>
              <w:spacing w:line="36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资源开发效率要求</w:t>
            </w:r>
          </w:p>
        </w:tc>
        <w:tc>
          <w:tcPr>
            <w:tcW w:w="4438"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p>
        </w:tc>
      </w:tr>
    </w:tbl>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根据上表本项目</w:t>
      </w:r>
      <w:r>
        <w:rPr>
          <w:rFonts w:hint="default" w:ascii="Times New Roman" w:hAnsi="Times New Roman" w:eastAsia="宋体" w:cs="Times New Roman"/>
          <w:b w:val="0"/>
          <w:bCs w:val="0"/>
          <w:sz w:val="24"/>
          <w:szCs w:val="24"/>
          <w:lang w:val="en-US" w:eastAsia="zh-CN"/>
        </w:rPr>
        <w:t>“三线一单”的符合性分析如下。</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1）与</w:t>
      </w:r>
      <w:r>
        <w:rPr>
          <w:rFonts w:hint="eastAsia" w:ascii="Times New Roman" w:hAnsi="Times New Roman" w:cs="Times New Roman"/>
          <w:b w:val="0"/>
          <w:bCs w:val="0"/>
          <w:sz w:val="24"/>
          <w:szCs w:val="24"/>
          <w:lang w:val="en-US" w:eastAsia="zh-CN"/>
        </w:rPr>
        <w:t>全省总体管控</w:t>
      </w:r>
      <w:r>
        <w:rPr>
          <w:rFonts w:hint="default" w:ascii="Times New Roman" w:hAnsi="Times New Roman" w:eastAsia="宋体" w:cs="Times New Roman"/>
          <w:b w:val="0"/>
          <w:bCs w:val="0"/>
          <w:sz w:val="24"/>
          <w:szCs w:val="24"/>
          <w:lang w:val="en-US" w:eastAsia="zh-CN"/>
        </w:rPr>
        <w:t>要求的符合性分析</w:t>
      </w:r>
    </w:p>
    <w:p>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kern w:val="2"/>
          <w:sz w:val="24"/>
          <w:szCs w:val="24"/>
          <w:highlight w:val="none"/>
          <w:lang w:val="en-US" w:eastAsia="zh-CN" w:bidi="zh-CN"/>
        </w:rPr>
      </w:pPr>
      <w:r>
        <w:rPr>
          <w:rFonts w:hint="eastAsia" w:ascii="Times New Roman" w:hAnsi="Times New Roman" w:eastAsia="宋体" w:cs="Times New Roman"/>
          <w:b w:val="0"/>
          <w:bCs w:val="0"/>
          <w:kern w:val="2"/>
          <w:sz w:val="24"/>
          <w:szCs w:val="24"/>
          <w:highlight w:val="none"/>
          <w:lang w:val="en-US" w:eastAsia="zh-CN" w:bidi="zh-CN"/>
        </w:rPr>
        <w:t>全省总体管控</w:t>
      </w:r>
      <w:r>
        <w:rPr>
          <w:rFonts w:hint="default" w:ascii="Times New Roman" w:hAnsi="Times New Roman" w:eastAsia="宋体" w:cs="Times New Roman"/>
          <w:b w:val="0"/>
          <w:bCs w:val="0"/>
          <w:kern w:val="2"/>
          <w:sz w:val="24"/>
          <w:szCs w:val="24"/>
          <w:highlight w:val="none"/>
          <w:lang w:val="en-US" w:eastAsia="zh-CN" w:bidi="zh-CN"/>
        </w:rPr>
        <w:t>要求</w:t>
      </w:r>
      <w:r>
        <w:rPr>
          <w:rFonts w:hint="eastAsia" w:ascii="Times New Roman" w:hAnsi="Times New Roman" w:eastAsia="宋体" w:cs="Times New Roman"/>
          <w:b w:val="0"/>
          <w:bCs w:val="0"/>
          <w:kern w:val="2"/>
          <w:sz w:val="24"/>
          <w:szCs w:val="24"/>
          <w:highlight w:val="none"/>
          <w:lang w:val="en-US" w:eastAsia="zh-CN" w:bidi="zh-CN"/>
        </w:rPr>
        <w:t>为：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重点管控单元中，针对环境质量是否达标以及经济社会发展水平等因素，制定差别化的生态环境准入要求，对环境质量不达标区域，提出污染物削减比例要求，对环境质量达标区域，提出允许排放量建议指标。一般管控单元中，执行区域生态环境保护的基本要求；对其中的永久基本农田实施永久特殊保护，不得擅自占用或者改变用途；对其中要素重点管控区提出水和大气污染重点管控要求。</w:t>
      </w:r>
    </w:p>
    <w:p>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kern w:val="2"/>
          <w:sz w:val="24"/>
          <w:szCs w:val="24"/>
          <w:highlight w:val="none"/>
          <w:lang w:val="en-US" w:eastAsia="zh-CN" w:bidi="zh-CN"/>
        </w:rPr>
      </w:pPr>
      <w:r>
        <w:rPr>
          <w:rFonts w:hint="eastAsia" w:ascii="Times New Roman" w:hAnsi="Times New Roman" w:eastAsia="宋体" w:cs="Times New Roman"/>
          <w:b w:val="0"/>
          <w:bCs w:val="0"/>
          <w:kern w:val="2"/>
          <w:sz w:val="24"/>
          <w:szCs w:val="24"/>
          <w:highlight w:val="none"/>
          <w:lang w:val="en-US" w:eastAsia="zh-CN" w:bidi="zh-CN"/>
        </w:rPr>
        <w:t>本项目涉及渠县一般管控单元、渠江渠县团堡岭控制单元、渠县大气环境一般管控区、渠县土壤优先保护区四个管控单元。</w:t>
      </w:r>
    </w:p>
    <w:p>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①与生态红线要求的符合性分析</w:t>
      </w:r>
    </w:p>
    <w:p>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四川省人民政府《关于印发四川省生态保护红线方案的通知》（川府发〔2018〕24号），四川省生态保护红线总面积14.80万km</w:t>
      </w:r>
      <w:r>
        <w:rPr>
          <w:rFonts w:hint="default" w:ascii="Times New Roman" w:hAnsi="Times New Roman" w:eastAsia="宋体" w:cs="Times New Roman"/>
          <w:b w:val="0"/>
          <w:bCs w:val="0"/>
          <w:sz w:val="24"/>
          <w:szCs w:val="24"/>
          <w:vertAlign w:val="superscript"/>
          <w:lang w:val="en-US" w:eastAsia="zh-CN"/>
        </w:rPr>
        <w:t>2</w:t>
      </w:r>
      <w:r>
        <w:rPr>
          <w:rFonts w:hint="default" w:ascii="Times New Roman" w:hAnsi="Times New Roman" w:eastAsia="宋体" w:cs="Times New Roman"/>
          <w:b w:val="0"/>
          <w:bCs w:val="0"/>
          <w:sz w:val="24"/>
          <w:szCs w:val="24"/>
          <w:lang w:val="en-US" w:eastAsia="zh-CN"/>
        </w:rPr>
        <w:t>，占全省幅员面积的30.45%。空间分布格局呈“四轴九核”，分为5大类13个区块，主要分布在川西高原山地</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盆周山地的水源涵养</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生物多样性维护</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水土保持生态功能富集区和金沙江下游水土流失敏感区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川东南石漠化敏感区。目前划定的四川省生态保护红线达州市境内生态红线面积为1256.97km</w:t>
      </w:r>
      <w:r>
        <w:rPr>
          <w:rFonts w:hint="default" w:ascii="Times New Roman" w:hAnsi="Times New Roman" w:eastAsia="宋体" w:cs="Times New Roman"/>
          <w:b w:val="0"/>
          <w:bCs w:val="0"/>
          <w:sz w:val="24"/>
          <w:szCs w:val="24"/>
          <w:vertAlign w:val="superscript"/>
          <w:lang w:val="en-US" w:eastAsia="zh-CN"/>
        </w:rPr>
        <w:t>2</w:t>
      </w:r>
      <w:r>
        <w:rPr>
          <w:rFonts w:hint="default" w:ascii="Times New Roman" w:hAnsi="Times New Roman" w:eastAsia="宋体" w:cs="Times New Roman"/>
          <w:b w:val="0"/>
          <w:bCs w:val="0"/>
          <w:sz w:val="24"/>
          <w:szCs w:val="24"/>
          <w:lang w:val="en-US" w:eastAsia="zh-CN"/>
        </w:rPr>
        <w:t>，占达州市国土面积约7.58%，纳入生态保护红线的区域涉及：龙潭河特有鱼类国家级水产种质资源保护区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八台山省级风景名胜区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后河特有鱼类水产种质资源保护区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百里峡风景名胜区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乌木滩水库饮用水源地</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大竹百岛湖省级湿地公园</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大竹龙潭省级湿地公园</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宝石桥水库饮用水源地</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巴河特有鱼类国家级水产种质资源保护区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百里峡省级自然保护区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蜂桶山省级自然保护区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罗江库区集中式饮用水水源保护区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龙潭水库饮用水源地等法定保护区域，以及崖柏极小种群物种分布的栖息地</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国家一级公益林</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特大和大型地质灾害隐患点等各类保护地。达州市生态空间控制单元分区中，达川区生态保护红线有2个管控单元，面积为293.05km</w:t>
      </w:r>
      <w:r>
        <w:rPr>
          <w:rFonts w:hint="default" w:ascii="Times New Roman" w:hAnsi="Times New Roman" w:eastAsia="宋体" w:cs="Times New Roman"/>
          <w:b w:val="0"/>
          <w:bCs w:val="0"/>
          <w:sz w:val="24"/>
          <w:szCs w:val="24"/>
          <w:vertAlign w:val="superscript"/>
          <w:lang w:val="en-US" w:eastAsia="zh-CN"/>
        </w:rPr>
        <w:t>2</w:t>
      </w:r>
      <w:r>
        <w:rPr>
          <w:rFonts w:hint="default" w:ascii="Times New Roman" w:hAnsi="Times New Roman" w:eastAsia="宋体" w:cs="Times New Roman"/>
          <w:b w:val="0"/>
          <w:bCs w:val="0"/>
          <w:sz w:val="24"/>
          <w:szCs w:val="24"/>
          <w:lang w:val="en-US" w:eastAsia="zh-CN"/>
        </w:rPr>
        <w:t>，主要由巴河特有鱼类国家级水产种植资源保护区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生态公益林</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 xml:space="preserve"> 真佛山风景名胜区</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生物多样性维护生态功能重要性评估区等组成。</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kern w:val="2"/>
          <w:sz w:val="24"/>
          <w:szCs w:val="24"/>
          <w:highlight w:val="none"/>
          <w:lang w:eastAsia="zh-CN"/>
        </w:rPr>
        <w:t>本项目位于</w:t>
      </w:r>
      <w:r>
        <w:rPr>
          <w:rFonts w:hint="default" w:ascii="Times New Roman" w:hAnsi="Times New Roman" w:eastAsia="宋体" w:cs="Times New Roman"/>
          <w:b w:val="0"/>
          <w:bCs w:val="0"/>
          <w:kern w:val="2"/>
          <w:sz w:val="24"/>
          <w:szCs w:val="24"/>
          <w:highlight w:val="none"/>
          <w:lang w:val="en-US" w:eastAsia="zh-CN"/>
        </w:rPr>
        <w:t>渠县临巴镇，起点位于临巴镇北侧福善村北侧，终点位于临巴镇幸福大道</w:t>
      </w:r>
      <w:r>
        <w:rPr>
          <w:rFonts w:hint="default" w:ascii="Times New Roman" w:hAnsi="Times New Roman" w:eastAsia="宋体" w:cs="Times New Roman"/>
          <w:b w:val="0"/>
          <w:bCs w:val="0"/>
          <w:sz w:val="24"/>
          <w:szCs w:val="24"/>
          <w:lang w:val="en-US" w:eastAsia="zh-CN"/>
        </w:rPr>
        <w:t>，不涉及达州市生态保护红线范围，因此本项目符合生态保护红线要求。</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②</w:t>
      </w:r>
      <w:r>
        <w:rPr>
          <w:rFonts w:hint="default" w:ascii="Times New Roman" w:hAnsi="Times New Roman" w:eastAsia="宋体" w:cs="Times New Roman"/>
          <w:b w:val="0"/>
          <w:bCs w:val="0"/>
          <w:sz w:val="24"/>
          <w:szCs w:val="24"/>
          <w:lang w:val="en-US" w:eastAsia="zh-CN"/>
        </w:rPr>
        <w:t>与</w:t>
      </w:r>
      <w:r>
        <w:rPr>
          <w:rFonts w:hint="eastAsia" w:ascii="Times New Roman" w:hAnsi="Times New Roman" w:eastAsia="宋体" w:cs="Times New Roman"/>
          <w:b w:val="0"/>
          <w:bCs w:val="0"/>
          <w:kern w:val="2"/>
          <w:sz w:val="24"/>
          <w:szCs w:val="24"/>
          <w:highlight w:val="none"/>
          <w:lang w:val="en-US" w:eastAsia="zh-CN" w:bidi="zh-CN"/>
        </w:rPr>
        <w:t>区域生态环境保护</w:t>
      </w:r>
      <w:r>
        <w:rPr>
          <w:rFonts w:hint="default" w:ascii="Times New Roman" w:hAnsi="Times New Roman" w:eastAsia="宋体" w:cs="Times New Roman"/>
          <w:b w:val="0"/>
          <w:bCs w:val="0"/>
          <w:sz w:val="24"/>
          <w:szCs w:val="24"/>
          <w:lang w:val="en-US" w:eastAsia="zh-CN"/>
        </w:rPr>
        <w:t>的符合性分析</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本项目施工期废水通过处理后循环使用；运营期不排放废水</w:t>
      </w:r>
      <w:r>
        <w:rPr>
          <w:rFonts w:hint="eastAsia" w:ascii="Times New Roman" w:hAnsi="Times New Roman"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大气污染物严格执行排放限值达标排放；施工期严格执行《四川省建筑工程扬尘污染防治技术导则（试行）》</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《四川省施工场地扬尘排放标准》（DB51/2682-2020）相关要求；</w:t>
      </w:r>
      <w:r>
        <w:rPr>
          <w:rFonts w:hint="default" w:ascii="Times New Roman" w:hAnsi="Times New Roman" w:eastAsia="宋体" w:cs="Times New Roman"/>
          <w:b w:val="0"/>
          <w:bCs w:val="0"/>
          <w:kern w:val="0"/>
          <w:sz w:val="24"/>
          <w:szCs w:val="24"/>
          <w:highlight w:val="none"/>
        </w:rPr>
        <w:t>营运期：车辆尾气通过提高燃料品质</w:t>
      </w:r>
      <w:r>
        <w:rPr>
          <w:rFonts w:hint="eastAsia" w:ascii="Times New Roman" w:hAnsi="Times New Roman" w:eastAsia="宋体" w:cs="Times New Roman"/>
          <w:b w:val="0"/>
          <w:bCs w:val="0"/>
          <w:kern w:val="0"/>
          <w:sz w:val="24"/>
          <w:szCs w:val="24"/>
          <w:highlight w:val="none"/>
          <w:lang w:eastAsia="zh-CN"/>
        </w:rPr>
        <w:t>、</w:t>
      </w:r>
      <w:r>
        <w:rPr>
          <w:rFonts w:hint="default" w:ascii="Times New Roman" w:hAnsi="Times New Roman" w:eastAsia="宋体" w:cs="Times New Roman"/>
          <w:b w:val="0"/>
          <w:bCs w:val="0"/>
          <w:kern w:val="0"/>
          <w:sz w:val="24"/>
          <w:szCs w:val="24"/>
          <w:highlight w:val="none"/>
        </w:rPr>
        <w:t>车辆加装尾气处理装置</w:t>
      </w:r>
      <w:r>
        <w:rPr>
          <w:rFonts w:hint="eastAsia" w:ascii="Times New Roman" w:hAnsi="Times New Roman" w:eastAsia="宋体" w:cs="Times New Roman"/>
          <w:b w:val="0"/>
          <w:bCs w:val="0"/>
          <w:kern w:val="0"/>
          <w:sz w:val="24"/>
          <w:szCs w:val="24"/>
          <w:highlight w:val="none"/>
          <w:lang w:eastAsia="zh-CN"/>
        </w:rPr>
        <w:t>、</w:t>
      </w:r>
      <w:r>
        <w:rPr>
          <w:rFonts w:hint="default" w:ascii="Times New Roman" w:hAnsi="Times New Roman" w:eastAsia="宋体" w:cs="Times New Roman"/>
          <w:b w:val="0"/>
          <w:bCs w:val="0"/>
          <w:kern w:val="0"/>
          <w:sz w:val="24"/>
          <w:szCs w:val="24"/>
          <w:highlight w:val="none"/>
        </w:rPr>
        <w:t>控制车速来防治车辆尾气</w:t>
      </w:r>
      <w:r>
        <w:rPr>
          <w:rFonts w:hint="eastAsia" w:ascii="Times New Roman" w:hAnsi="Times New Roman" w:eastAsia="宋体" w:cs="Times New Roman"/>
          <w:b w:val="0"/>
          <w:bCs w:val="0"/>
          <w:kern w:val="0"/>
          <w:sz w:val="24"/>
          <w:szCs w:val="24"/>
          <w:highlight w:val="none"/>
          <w:lang w:eastAsia="zh-CN"/>
        </w:rPr>
        <w:t>、</w:t>
      </w:r>
      <w:r>
        <w:rPr>
          <w:rFonts w:hint="default" w:ascii="Times New Roman" w:hAnsi="Times New Roman" w:eastAsia="宋体" w:cs="Times New Roman"/>
          <w:b w:val="0"/>
          <w:bCs w:val="0"/>
          <w:kern w:val="0"/>
          <w:sz w:val="24"/>
          <w:szCs w:val="24"/>
          <w:highlight w:val="none"/>
        </w:rPr>
        <w:t>扬尘，加强道路两侧绿化控制</w:t>
      </w:r>
      <w:r>
        <w:rPr>
          <w:rFonts w:hint="eastAsia" w:ascii="Times New Roman" w:hAnsi="Times New Roman" w:cs="Times New Roman"/>
          <w:b w:val="0"/>
          <w:bCs w:val="0"/>
          <w:kern w:val="0"/>
          <w:sz w:val="24"/>
          <w:szCs w:val="24"/>
          <w:highlight w:val="none"/>
          <w:lang w:eastAsia="zh-CN"/>
        </w:rPr>
        <w:t>；</w:t>
      </w:r>
      <w:r>
        <w:rPr>
          <w:rFonts w:hint="default" w:ascii="Times New Roman" w:hAnsi="Times New Roman" w:eastAsia="宋体" w:cs="Times New Roman"/>
          <w:b w:val="0"/>
          <w:bCs w:val="0"/>
          <w:sz w:val="24"/>
          <w:szCs w:val="24"/>
          <w:lang w:val="en-US" w:eastAsia="zh-CN"/>
        </w:rPr>
        <w:t>根据本项目取得的《关于渠县临巴镇绕场镇改线工程</w:t>
      </w:r>
      <w:r>
        <w:rPr>
          <w:rFonts w:hint="default" w:ascii="Times New Roman" w:hAnsi="Times New Roman" w:eastAsia="宋体" w:cs="Times New Roman"/>
          <w:b w:val="0"/>
          <w:bCs w:val="0"/>
          <w:sz w:val="24"/>
          <w:szCs w:val="24"/>
        </w:rPr>
        <w:t>项目</w:t>
      </w:r>
      <w:r>
        <w:rPr>
          <w:rFonts w:hint="default" w:ascii="Times New Roman" w:hAnsi="Times New Roman" w:eastAsia="宋体" w:cs="Times New Roman"/>
          <w:b w:val="0"/>
          <w:bCs w:val="0"/>
          <w:sz w:val="24"/>
          <w:szCs w:val="24"/>
          <w:lang w:val="en-US" w:eastAsia="zh-CN"/>
        </w:rPr>
        <w:t>规划选址和用地预审意见的复函》本项目用地不涉及基本农田。因此项目的建设符合</w:t>
      </w:r>
      <w:r>
        <w:rPr>
          <w:rFonts w:hint="eastAsia" w:ascii="Times New Roman" w:hAnsi="Times New Roman" w:eastAsia="宋体" w:cs="Times New Roman"/>
          <w:b w:val="0"/>
          <w:bCs w:val="0"/>
          <w:kern w:val="2"/>
          <w:sz w:val="24"/>
          <w:szCs w:val="24"/>
          <w:highlight w:val="none"/>
          <w:lang w:val="en-US" w:eastAsia="zh-CN" w:bidi="zh-CN"/>
        </w:rPr>
        <w:t>区域生态环境保护的要求</w:t>
      </w:r>
      <w:r>
        <w:rPr>
          <w:rFonts w:hint="default" w:ascii="Times New Roman" w:hAnsi="Times New Roman" w:eastAsia="宋体" w:cs="Times New Roman"/>
          <w:b w:val="0"/>
          <w:bCs w:val="0"/>
          <w:sz w:val="24"/>
          <w:szCs w:val="24"/>
          <w:lang w:val="en-US" w:eastAsia="zh-CN"/>
        </w:rPr>
        <w:t>。</w:t>
      </w:r>
    </w:p>
    <w:p>
      <w:pPr>
        <w:pStyle w:val="2"/>
        <w:spacing w:line="360" w:lineRule="auto"/>
        <w:rPr>
          <w:rFonts w:hint="default"/>
          <w:lang w:val="en-US" w:eastAsia="zh-CN"/>
        </w:rPr>
      </w:pPr>
      <w:r>
        <w:rPr>
          <w:rFonts w:hint="eastAsia" w:ascii="Times New Roman" w:hAnsi="Times New Roman" w:cs="Times New Roman"/>
          <w:b w:val="0"/>
          <w:bCs w:val="0"/>
          <w:sz w:val="24"/>
          <w:szCs w:val="24"/>
          <w:lang w:val="en-US" w:eastAsia="zh-CN"/>
        </w:rPr>
        <w:t>综上，本项目符合全省总体管控</w:t>
      </w:r>
      <w:r>
        <w:rPr>
          <w:rFonts w:hint="default" w:ascii="Times New Roman" w:hAnsi="Times New Roman" w:eastAsia="宋体" w:cs="Times New Roman"/>
          <w:b w:val="0"/>
          <w:bCs w:val="0"/>
          <w:sz w:val="24"/>
          <w:szCs w:val="24"/>
          <w:lang w:val="en-US" w:eastAsia="zh-CN"/>
        </w:rPr>
        <w:t>要求</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2</w:t>
      </w:r>
      <w:r>
        <w:rPr>
          <w:rFonts w:hint="default" w:ascii="Times New Roman" w:hAnsi="Times New Roman" w:eastAsia="宋体" w:cs="Times New Roman"/>
          <w:b w:val="0"/>
          <w:bCs w:val="0"/>
          <w:sz w:val="24"/>
          <w:szCs w:val="24"/>
          <w:lang w:val="en-US" w:eastAsia="zh-CN"/>
        </w:rPr>
        <w:t>）与</w:t>
      </w:r>
      <w:r>
        <w:rPr>
          <w:rFonts w:hint="eastAsia" w:ascii="Times New Roman" w:hAnsi="Times New Roman" w:eastAsia="宋体" w:cs="Times New Roman"/>
          <w:b w:val="0"/>
          <w:bCs w:val="0"/>
          <w:sz w:val="24"/>
          <w:szCs w:val="24"/>
          <w:lang w:val="en-US" w:eastAsia="zh-CN"/>
        </w:rPr>
        <w:t>川东北经济区总体管控要求</w:t>
      </w:r>
      <w:r>
        <w:rPr>
          <w:rFonts w:hint="default" w:ascii="Times New Roman" w:hAnsi="Times New Roman" w:eastAsia="宋体" w:cs="Times New Roman"/>
          <w:b w:val="0"/>
          <w:bCs w:val="0"/>
          <w:sz w:val="24"/>
          <w:szCs w:val="24"/>
          <w:lang w:val="en-US" w:eastAsia="zh-CN"/>
        </w:rPr>
        <w:t>的符合性分析</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Style w:val="19"/>
          <w:rFonts w:hint="eastAsia" w:ascii="宋体" w:hAnsi="宋体" w:eastAsia="宋体" w:cs="Times New Roman"/>
          <w:kern w:val="2"/>
          <w:sz w:val="21"/>
          <w:szCs w:val="21"/>
          <w:lang w:val="en-US" w:eastAsia="zh-CN" w:bidi="ar-SA"/>
        </w:rPr>
      </w:pPr>
      <w:r>
        <w:rPr>
          <w:rFonts w:hint="eastAsia" w:ascii="Times New Roman" w:hAnsi="Times New Roman" w:eastAsia="宋体" w:cs="Times New Roman"/>
          <w:b w:val="0"/>
          <w:bCs w:val="0"/>
          <w:kern w:val="2"/>
          <w:sz w:val="24"/>
          <w:szCs w:val="24"/>
          <w:highlight w:val="none"/>
          <w:lang w:val="en-US" w:eastAsia="zh-CN"/>
        </w:rPr>
        <w:t>川东北经济区总体管控要求为控制农村面源污染，提高污水收集处理率，加快乡镇污水处理基础设施建设。建设流域水环境风险联防联控体系。提高大气污染治理水平。</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本项目施工期废水通过处理后循环使用；运营期不排放废水</w:t>
      </w:r>
      <w:r>
        <w:rPr>
          <w:rFonts w:hint="eastAsia" w:ascii="Times New Roman" w:hAnsi="Times New Roman"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大气污染物严格执行排放限值达标排放；施工期严格执行《四川省建筑工程扬尘污染防治技术导则（试行）》</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《四川省施工场地扬尘排放标准》（DB51/2682-2020）相关要求；</w:t>
      </w:r>
      <w:r>
        <w:rPr>
          <w:rFonts w:hint="default" w:ascii="Times New Roman" w:hAnsi="Times New Roman" w:eastAsia="宋体" w:cs="Times New Roman"/>
          <w:b w:val="0"/>
          <w:bCs w:val="0"/>
          <w:kern w:val="0"/>
          <w:sz w:val="24"/>
          <w:szCs w:val="24"/>
          <w:highlight w:val="none"/>
        </w:rPr>
        <w:t>营运期：车辆尾气通过提高燃料品质</w:t>
      </w:r>
      <w:r>
        <w:rPr>
          <w:rFonts w:hint="eastAsia" w:ascii="Times New Roman" w:hAnsi="Times New Roman" w:eastAsia="宋体" w:cs="Times New Roman"/>
          <w:b w:val="0"/>
          <w:bCs w:val="0"/>
          <w:kern w:val="0"/>
          <w:sz w:val="24"/>
          <w:szCs w:val="24"/>
          <w:highlight w:val="none"/>
          <w:lang w:eastAsia="zh-CN"/>
        </w:rPr>
        <w:t>、</w:t>
      </w:r>
      <w:r>
        <w:rPr>
          <w:rFonts w:hint="default" w:ascii="Times New Roman" w:hAnsi="Times New Roman" w:eastAsia="宋体" w:cs="Times New Roman"/>
          <w:b w:val="0"/>
          <w:bCs w:val="0"/>
          <w:kern w:val="0"/>
          <w:sz w:val="24"/>
          <w:szCs w:val="24"/>
          <w:highlight w:val="none"/>
        </w:rPr>
        <w:t>车辆加装尾气处理装置</w:t>
      </w:r>
      <w:r>
        <w:rPr>
          <w:rFonts w:hint="eastAsia" w:ascii="Times New Roman" w:hAnsi="Times New Roman" w:eastAsia="宋体" w:cs="Times New Roman"/>
          <w:b w:val="0"/>
          <w:bCs w:val="0"/>
          <w:kern w:val="0"/>
          <w:sz w:val="24"/>
          <w:szCs w:val="24"/>
          <w:highlight w:val="none"/>
          <w:lang w:eastAsia="zh-CN"/>
        </w:rPr>
        <w:t>、</w:t>
      </w:r>
      <w:r>
        <w:rPr>
          <w:rFonts w:hint="default" w:ascii="Times New Roman" w:hAnsi="Times New Roman" w:eastAsia="宋体" w:cs="Times New Roman"/>
          <w:b w:val="0"/>
          <w:bCs w:val="0"/>
          <w:kern w:val="0"/>
          <w:sz w:val="24"/>
          <w:szCs w:val="24"/>
          <w:highlight w:val="none"/>
        </w:rPr>
        <w:t>控制车速来防治车辆尾气</w:t>
      </w:r>
      <w:r>
        <w:rPr>
          <w:rFonts w:hint="eastAsia" w:ascii="Times New Roman" w:hAnsi="Times New Roman" w:eastAsia="宋体" w:cs="Times New Roman"/>
          <w:b w:val="0"/>
          <w:bCs w:val="0"/>
          <w:kern w:val="0"/>
          <w:sz w:val="24"/>
          <w:szCs w:val="24"/>
          <w:highlight w:val="none"/>
          <w:lang w:eastAsia="zh-CN"/>
        </w:rPr>
        <w:t>、</w:t>
      </w:r>
      <w:r>
        <w:rPr>
          <w:rFonts w:hint="default" w:ascii="Times New Roman" w:hAnsi="Times New Roman" w:eastAsia="宋体" w:cs="Times New Roman"/>
          <w:b w:val="0"/>
          <w:bCs w:val="0"/>
          <w:kern w:val="0"/>
          <w:sz w:val="24"/>
          <w:szCs w:val="24"/>
          <w:highlight w:val="none"/>
        </w:rPr>
        <w:t>扬尘，加强道路两侧绿化控制</w:t>
      </w:r>
      <w:r>
        <w:rPr>
          <w:rFonts w:hint="eastAsia" w:ascii="Times New Roman" w:hAnsi="Times New Roman" w:cs="Times New Roman"/>
          <w:b w:val="0"/>
          <w:bCs w:val="0"/>
          <w:kern w:val="0"/>
          <w:sz w:val="24"/>
          <w:szCs w:val="24"/>
          <w:highlight w:val="none"/>
          <w:lang w:eastAsia="zh-CN"/>
        </w:rPr>
        <w:t>；</w:t>
      </w:r>
      <w:r>
        <w:rPr>
          <w:rFonts w:hint="default" w:ascii="Times New Roman" w:hAnsi="Times New Roman" w:eastAsia="宋体" w:cs="Times New Roman"/>
          <w:b w:val="0"/>
          <w:bCs w:val="0"/>
          <w:sz w:val="24"/>
          <w:szCs w:val="24"/>
          <w:lang w:val="en-US" w:eastAsia="zh-CN"/>
        </w:rPr>
        <w:t>根据本项目取得的《关于渠县临巴镇绕场镇改线工程</w:t>
      </w:r>
      <w:r>
        <w:rPr>
          <w:rFonts w:hint="default" w:ascii="Times New Roman" w:hAnsi="Times New Roman" w:eastAsia="宋体" w:cs="Times New Roman"/>
          <w:b w:val="0"/>
          <w:bCs w:val="0"/>
          <w:sz w:val="24"/>
          <w:szCs w:val="24"/>
        </w:rPr>
        <w:t>项目</w:t>
      </w:r>
      <w:r>
        <w:rPr>
          <w:rFonts w:hint="default" w:ascii="Times New Roman" w:hAnsi="Times New Roman" w:eastAsia="宋体" w:cs="Times New Roman"/>
          <w:b w:val="0"/>
          <w:bCs w:val="0"/>
          <w:sz w:val="24"/>
          <w:szCs w:val="24"/>
          <w:lang w:val="en-US" w:eastAsia="zh-CN"/>
        </w:rPr>
        <w:t>规划选址和用地预审意见的复函》本项目用地不涉及基本农田。因此项目的建设符合</w:t>
      </w:r>
      <w:r>
        <w:rPr>
          <w:rFonts w:hint="eastAsia" w:ascii="Times New Roman" w:hAnsi="Times New Roman" w:eastAsia="宋体" w:cs="Times New Roman"/>
          <w:b w:val="0"/>
          <w:bCs w:val="0"/>
          <w:sz w:val="24"/>
          <w:szCs w:val="24"/>
          <w:lang w:val="en-US" w:eastAsia="zh-CN"/>
        </w:rPr>
        <w:t>川东北经济区总体管控要求</w:t>
      </w:r>
      <w:r>
        <w:rPr>
          <w:rFonts w:hint="default" w:ascii="Times New Roman" w:hAnsi="Times New Roman" w:eastAsia="宋体" w:cs="Times New Roman"/>
          <w:b w:val="0"/>
          <w:bCs w:val="0"/>
          <w:sz w:val="24"/>
          <w:szCs w:val="24"/>
          <w:lang w:val="en-US" w:eastAsia="zh-CN"/>
        </w:rPr>
        <w:t>。</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与</w:t>
      </w:r>
      <w:r>
        <w:rPr>
          <w:rFonts w:hint="eastAsia" w:ascii="Times New Roman" w:hAnsi="Times New Roman" w:eastAsia="宋体" w:cs="Times New Roman"/>
          <w:b w:val="0"/>
          <w:bCs w:val="0"/>
          <w:sz w:val="24"/>
          <w:szCs w:val="24"/>
          <w:lang w:val="en-US" w:eastAsia="zh-CN"/>
        </w:rPr>
        <w:t>达州市总体管控要求</w:t>
      </w:r>
      <w:r>
        <w:rPr>
          <w:rFonts w:hint="default" w:ascii="Times New Roman" w:hAnsi="Times New Roman" w:eastAsia="宋体" w:cs="Times New Roman"/>
          <w:b w:val="0"/>
          <w:bCs w:val="0"/>
          <w:sz w:val="24"/>
          <w:szCs w:val="24"/>
          <w:lang w:val="en-US" w:eastAsia="zh-CN"/>
        </w:rPr>
        <w:t>的符合性分析</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达州市总体管控要求</w:t>
      </w:r>
      <w:r>
        <w:rPr>
          <w:rFonts w:hint="eastAsia" w:ascii="Times New Roman" w:hAnsi="Times New Roman" w:cs="Times New Roman"/>
          <w:b w:val="0"/>
          <w:bCs w:val="0"/>
          <w:sz w:val="24"/>
          <w:szCs w:val="24"/>
          <w:lang w:val="en-US" w:eastAsia="zh-CN"/>
        </w:rPr>
        <w:t>为</w:t>
      </w:r>
      <w:r>
        <w:rPr>
          <w:rFonts w:hint="eastAsia" w:ascii="Times New Roman" w:hAnsi="Times New Roman" w:eastAsia="宋体" w:cs="Times New Roman"/>
          <w:b w:val="0"/>
          <w:bCs w:val="0"/>
          <w:kern w:val="0"/>
          <w:sz w:val="24"/>
          <w:szCs w:val="24"/>
          <w:highlight w:val="none"/>
          <w:lang w:val="en-US" w:eastAsia="zh-CN"/>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本项目为公路建设项目，不涉及</w:t>
      </w:r>
      <w:r>
        <w:rPr>
          <w:rFonts w:hint="eastAsia" w:ascii="Times New Roman" w:hAnsi="Times New Roman" w:eastAsia="宋体" w:cs="Times New Roman"/>
          <w:b w:val="0"/>
          <w:bCs w:val="0"/>
          <w:sz w:val="24"/>
          <w:szCs w:val="24"/>
          <w:lang w:val="en-US" w:eastAsia="zh-CN"/>
        </w:rPr>
        <w:t>达州市总体管控</w:t>
      </w:r>
      <w:r>
        <w:rPr>
          <w:rFonts w:hint="eastAsia" w:ascii="Times New Roman" w:hAnsi="Times New Roman" w:cs="Times New Roman"/>
          <w:b w:val="0"/>
          <w:bCs w:val="0"/>
          <w:sz w:val="24"/>
          <w:szCs w:val="24"/>
          <w:lang w:val="en-US" w:eastAsia="zh-CN"/>
        </w:rPr>
        <w:t>要求。</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与</w:t>
      </w:r>
      <w:r>
        <w:rPr>
          <w:rFonts w:hint="eastAsia" w:ascii="Times New Roman" w:hAnsi="Times New Roman" w:eastAsia="宋体" w:cs="Times New Roman"/>
          <w:b w:val="0"/>
          <w:bCs w:val="0"/>
          <w:sz w:val="24"/>
          <w:szCs w:val="24"/>
          <w:lang w:val="en-US" w:eastAsia="zh-CN"/>
        </w:rPr>
        <w:t>单元特性管控要求</w:t>
      </w:r>
      <w:r>
        <w:rPr>
          <w:rFonts w:hint="default" w:ascii="Times New Roman" w:hAnsi="Times New Roman" w:eastAsia="宋体" w:cs="Times New Roman"/>
          <w:b w:val="0"/>
          <w:bCs w:val="0"/>
          <w:sz w:val="24"/>
          <w:szCs w:val="24"/>
          <w:lang w:val="en-US" w:eastAsia="zh-CN"/>
        </w:rPr>
        <w:t>的符合性分析</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与</w:t>
      </w:r>
      <w:r>
        <w:rPr>
          <w:rFonts w:hint="eastAsia" w:ascii="Times New Roman" w:hAnsi="Times New Roman" w:eastAsia="宋体" w:cs="Times New Roman"/>
          <w:b w:val="0"/>
          <w:bCs w:val="0"/>
          <w:sz w:val="24"/>
          <w:szCs w:val="24"/>
          <w:lang w:val="en-US" w:eastAsia="zh-CN"/>
        </w:rPr>
        <w:t>单元特性管控要求</w:t>
      </w:r>
      <w:r>
        <w:rPr>
          <w:rFonts w:hint="default" w:ascii="Times New Roman" w:hAnsi="Times New Roman" w:eastAsia="宋体" w:cs="Times New Roman"/>
          <w:b w:val="0"/>
          <w:bCs w:val="0"/>
          <w:sz w:val="24"/>
          <w:szCs w:val="24"/>
          <w:lang w:val="en-US" w:eastAsia="zh-CN"/>
        </w:rPr>
        <w:t>的符合性分析</w:t>
      </w:r>
      <w:r>
        <w:rPr>
          <w:rFonts w:hint="eastAsia" w:ascii="Times New Roman" w:hAnsi="Times New Roman" w:cs="Times New Roman"/>
          <w:b w:val="0"/>
          <w:bCs w:val="0"/>
          <w:sz w:val="24"/>
          <w:szCs w:val="24"/>
          <w:lang w:val="en-US" w:eastAsia="zh-CN"/>
        </w:rPr>
        <w:t>见表1.5-4.</w:t>
      </w:r>
    </w:p>
    <w:p>
      <w:pPr>
        <w:pStyle w:val="2"/>
        <w:jc w:val="center"/>
        <w:rPr>
          <w:rFonts w:hint="default"/>
          <w:lang w:val="en-US" w:eastAsia="zh-CN"/>
        </w:rPr>
      </w:pPr>
      <w:r>
        <w:rPr>
          <w:rFonts w:hint="eastAsia" w:ascii="Times New Roman" w:hAnsi="Times New Roman" w:eastAsia="Times New Roman" w:cs="Times New Roman"/>
          <w:b/>
          <w:sz w:val="21"/>
          <w:szCs w:val="22"/>
          <w:lang w:val="en-US" w:eastAsia="zh-CN" w:bidi="zh-CN"/>
        </w:rPr>
        <w:t>表1.5-4</w:t>
      </w:r>
      <w:r>
        <w:rPr>
          <w:rFonts w:hint="eastAsia" w:ascii="Times New Roman" w:hAnsi="Times New Roman" w:cs="Times New Roman"/>
          <w:b w:val="0"/>
          <w:bCs w:val="0"/>
          <w:sz w:val="24"/>
          <w:szCs w:val="24"/>
          <w:lang w:val="en-US" w:eastAsia="zh-CN"/>
        </w:rPr>
        <w:t xml:space="preserve"> </w:t>
      </w:r>
      <w:r>
        <w:rPr>
          <w:rFonts w:hint="eastAsia" w:ascii="Times New Roman" w:hAnsi="Times New Roman" w:eastAsia="Times New Roman" w:cs="Times New Roman"/>
          <w:b/>
          <w:sz w:val="21"/>
          <w:szCs w:val="22"/>
          <w:lang w:val="en-US" w:eastAsia="zh-CN" w:bidi="zh-CN"/>
        </w:rPr>
        <w:t>单元特性管控要求</w:t>
      </w:r>
      <w:r>
        <w:rPr>
          <w:rFonts w:hint="default" w:ascii="Times New Roman" w:hAnsi="Times New Roman" w:eastAsia="Times New Roman" w:cs="Times New Roman"/>
          <w:b/>
          <w:sz w:val="21"/>
          <w:szCs w:val="22"/>
          <w:lang w:val="en-US" w:eastAsia="zh-CN" w:bidi="zh-CN"/>
        </w:rPr>
        <w:t>的符合性分析</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885"/>
        <w:gridCol w:w="645"/>
        <w:gridCol w:w="4290"/>
        <w:gridCol w:w="2057"/>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环境管控单元编码</w:t>
            </w:r>
          </w:p>
        </w:tc>
        <w:tc>
          <w:tcPr>
            <w:tcW w:w="885"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环境管控单元名称</w:t>
            </w:r>
          </w:p>
        </w:tc>
        <w:tc>
          <w:tcPr>
            <w:tcW w:w="645"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管控类别</w:t>
            </w:r>
          </w:p>
        </w:tc>
        <w:tc>
          <w:tcPr>
            <w:tcW w:w="4290" w:type="dxa"/>
            <w:noWrap w:val="0"/>
            <w:vAlign w:val="center"/>
          </w:tcPr>
          <w:p>
            <w:pPr>
              <w:widowControl/>
              <w:spacing w:line="240" w:lineRule="auto"/>
              <w:ind w:firstLine="0" w:firstLineChars="0"/>
              <w:jc w:val="center"/>
              <w:rPr>
                <w:rStyle w:val="19"/>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单元特性管控要求</w:t>
            </w:r>
          </w:p>
        </w:tc>
        <w:tc>
          <w:tcPr>
            <w:tcW w:w="2057" w:type="dxa"/>
            <w:noWrap w:val="0"/>
            <w:vAlign w:val="center"/>
          </w:tcPr>
          <w:p>
            <w:pPr>
              <w:widowControl/>
              <w:spacing w:line="240" w:lineRule="auto"/>
              <w:ind w:firstLine="0" w:firstLineChars="0"/>
              <w:jc w:val="center"/>
              <w:rPr>
                <w:rFonts w:hint="default"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本项目</w:t>
            </w:r>
          </w:p>
        </w:tc>
        <w:tc>
          <w:tcPr>
            <w:tcW w:w="760" w:type="dxa"/>
            <w:noWrap w:val="0"/>
            <w:vAlign w:val="center"/>
          </w:tcPr>
          <w:p>
            <w:pPr>
              <w:widowControl/>
              <w:spacing w:line="240" w:lineRule="auto"/>
              <w:ind w:firstLine="0" w:firstLineChars="0"/>
              <w:jc w:val="center"/>
              <w:rPr>
                <w:rFonts w:hint="default"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符合性</w:t>
            </w:r>
          </w:p>
        </w:tc>
      </w:tr>
    </w:tbl>
    <w:tbl>
      <w:tblPr>
        <w:tblStyle w:val="34"/>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870"/>
        <w:gridCol w:w="645"/>
        <w:gridCol w:w="4320"/>
        <w:gridCol w:w="202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ZH51172530001</w:t>
            </w:r>
          </w:p>
        </w:tc>
        <w:tc>
          <w:tcPr>
            <w:tcW w:w="870"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渠县一般管控单元</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空间布局约束</w:t>
            </w:r>
          </w:p>
        </w:tc>
        <w:tc>
          <w:tcPr>
            <w:tcW w:w="4320"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禁止开发建设活动的要求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限制开发建设活动的要求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允许开发建设活动的要求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不符合空间布局要求活动的退出要求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大气环境布局敏感重点管控区内严控新布局大气污染高排放企业。其他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其他空间布局约束要求</w:t>
            </w:r>
          </w:p>
        </w:tc>
        <w:tc>
          <w:tcPr>
            <w:tcW w:w="2025"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本项目为公路建设项目，不涉及空间布局约束。</w:t>
            </w:r>
          </w:p>
        </w:tc>
        <w:tc>
          <w:tcPr>
            <w:tcW w:w="762"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ZH51172530001</w:t>
            </w:r>
          </w:p>
        </w:tc>
        <w:tc>
          <w:tcPr>
            <w:tcW w:w="87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渠县一般管控单元</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污染物排放管控</w:t>
            </w:r>
          </w:p>
        </w:tc>
        <w:tc>
          <w:tcPr>
            <w:tcW w:w="4320"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现有源提标升级改造</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新增源等量或倍量替代</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新增源排放标准限值</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污染物排放绩效水平准入要求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大气环境布局敏感重点管控区内，现有大气污染重点企业，限期进行深度治理或关停并转。国电深能四川华蓥山发电有限公司执行超低排放，加强污染治理设施日常运行管理，确保稳定达标排放。华新水泥（渠县）有限公司加强脱硫、脱硝和除尘改造，确保达标达标。渠县德康生猪养殖有限公司加强废水综合整治，确保达标排放。单元内的大气重点管控区执行大气要素重点管控要求。其他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其他污染物排放管控要求</w:t>
            </w:r>
          </w:p>
        </w:tc>
        <w:tc>
          <w:tcPr>
            <w:tcW w:w="2025" w:type="dxa"/>
            <w:noWrap w:val="0"/>
            <w:vAlign w:val="center"/>
          </w:tcPr>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Fonts w:hint="default" w:ascii="Times New Roman" w:hAnsi="Times New Roman" w:eastAsia="宋体" w:cs="Times New Roman"/>
                <w:b w:val="0"/>
                <w:bCs w:val="0"/>
                <w:sz w:val="21"/>
                <w:szCs w:val="21"/>
                <w:lang w:val="en-US" w:eastAsia="zh-CN"/>
              </w:rPr>
              <w:t>本项目施工期废水通过处理后循环使用；运营期不排放废水；大气污染物严格执行排放限值达标排放；施工期严格执行《四川省建筑工程扬尘污染防治技术导则（试行）》、《四川省施工场地扬尘排放标准》（DB51/2682-2020）相关要求；</w:t>
            </w:r>
            <w:r>
              <w:rPr>
                <w:rFonts w:hint="default" w:ascii="Times New Roman" w:hAnsi="Times New Roman" w:eastAsia="宋体" w:cs="Times New Roman"/>
                <w:b w:val="0"/>
                <w:bCs w:val="0"/>
                <w:kern w:val="0"/>
                <w:sz w:val="21"/>
                <w:szCs w:val="21"/>
                <w:highlight w:val="none"/>
              </w:rPr>
              <w:t>营运期：车辆尾气通过提高燃料品质</w:t>
            </w:r>
            <w:r>
              <w:rPr>
                <w:rFonts w:hint="default" w:ascii="Times New Roman" w:hAnsi="Times New Roman" w:eastAsia="宋体"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车辆加装尾气处理装置</w:t>
            </w:r>
            <w:r>
              <w:rPr>
                <w:rFonts w:hint="default" w:ascii="Times New Roman" w:hAnsi="Times New Roman" w:eastAsia="宋体"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控制车速来防治车辆尾气</w:t>
            </w:r>
            <w:r>
              <w:rPr>
                <w:rFonts w:hint="default" w:ascii="Times New Roman" w:hAnsi="Times New Roman" w:eastAsia="宋体"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扬尘，加强道路两侧绿化控制</w:t>
            </w:r>
            <w:r>
              <w:rPr>
                <w:rFonts w:hint="default" w:ascii="Times New Roman" w:hAnsi="Times New Roman" w:eastAsia="宋体" w:cs="Times New Roman"/>
                <w:b w:val="0"/>
                <w:bCs w:val="0"/>
                <w:kern w:val="0"/>
                <w:sz w:val="21"/>
                <w:szCs w:val="21"/>
                <w:highlight w:val="none"/>
                <w:lang w:eastAsia="zh-CN"/>
              </w:rPr>
              <w:t>；</w:t>
            </w:r>
          </w:p>
        </w:tc>
        <w:tc>
          <w:tcPr>
            <w:tcW w:w="762"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ZH51172530001</w:t>
            </w:r>
          </w:p>
        </w:tc>
        <w:tc>
          <w:tcPr>
            <w:tcW w:w="87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渠县一般管控单元</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环境风险防控</w:t>
            </w:r>
          </w:p>
        </w:tc>
        <w:tc>
          <w:tcPr>
            <w:tcW w:w="4320"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严格管控类农用地管控要求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单元内土壤优先保护区执行土壤要素优先保护管控要求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安全利用类农用地管控要求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污染地块管控要求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园区环境风险防控要求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企业环境风险防控要求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其他环境风险防控要求</w:t>
            </w:r>
          </w:p>
        </w:tc>
        <w:tc>
          <w:tcPr>
            <w:tcW w:w="2025" w:type="dxa"/>
            <w:noWrap w:val="0"/>
            <w:vAlign w:val="center"/>
          </w:tcPr>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Fonts w:hint="default" w:ascii="Times New Roman" w:hAnsi="Times New Roman" w:eastAsia="宋体" w:cs="Times New Roman"/>
                <w:b w:val="0"/>
                <w:bCs w:val="0"/>
                <w:sz w:val="21"/>
                <w:szCs w:val="21"/>
                <w:lang w:val="en-US" w:eastAsia="zh-CN"/>
              </w:rPr>
              <w:t>本项目所在区域属于一般管控区。根据中华人民共和国国家发展和改革委员会（第29号令）《产业结构调整指导目录（2019年本）》可知，本项目属于鼓励类</w:t>
            </w:r>
            <w:r>
              <w:rPr>
                <w:rFonts w:hint="default" w:ascii="Times New Roman" w:hAnsi="Times New Roman" w:eastAsia="宋体" w:cs="Times New Roman"/>
                <w:b w:val="0"/>
                <w:bCs w:val="0"/>
                <w:sz w:val="24"/>
                <w:szCs w:val="24"/>
                <w:lang w:val="en-US" w:eastAsia="zh-CN"/>
              </w:rPr>
              <w:t>。</w:t>
            </w:r>
          </w:p>
        </w:tc>
        <w:tc>
          <w:tcPr>
            <w:tcW w:w="762"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ZH51172530001</w:t>
            </w:r>
          </w:p>
        </w:tc>
        <w:tc>
          <w:tcPr>
            <w:tcW w:w="87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渠县一般管控单元</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资源开发效率要求</w:t>
            </w:r>
          </w:p>
        </w:tc>
        <w:tc>
          <w:tcPr>
            <w:tcW w:w="4320"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水资源利用效率要求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地下水开采要求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能源利用效率要求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同达州市一般管控单元总体准入要求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其他资源利用效率要求</w:t>
            </w:r>
          </w:p>
        </w:tc>
        <w:tc>
          <w:tcPr>
            <w:tcW w:w="2025" w:type="dxa"/>
            <w:noWrap w:val="0"/>
            <w:vAlign w:val="center"/>
          </w:tcPr>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Fonts w:hint="default" w:ascii="Times New Roman" w:hAnsi="Times New Roman" w:eastAsia="宋体" w:cs="Times New Roman"/>
                <w:b w:val="0"/>
                <w:bCs w:val="0"/>
                <w:sz w:val="21"/>
                <w:szCs w:val="21"/>
                <w:lang w:val="en-US" w:eastAsia="zh-CN"/>
              </w:rPr>
              <w:t>目前达州市各区县用水总量都在控制指标范围内，未出现超载现象，下一步在严格执行“最严格水资源管理制度”确定的用水总量控制指标，加强水资源取水论证，严格水资源总量考核管理，同时全面推进节水型社会建设，提高用水效率。本项目运营期不消耗水资源。</w:t>
            </w:r>
          </w:p>
        </w:tc>
        <w:tc>
          <w:tcPr>
            <w:tcW w:w="762" w:type="dxa"/>
            <w:noWrap w:val="0"/>
            <w:vAlign w:val="center"/>
          </w:tcPr>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YS5117253210001</w:t>
            </w:r>
          </w:p>
        </w:tc>
        <w:tc>
          <w:tcPr>
            <w:tcW w:w="870"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渠江渠县团堡岭控制单元</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空间布局约束</w:t>
            </w:r>
          </w:p>
        </w:tc>
        <w:tc>
          <w:tcPr>
            <w:tcW w:w="4320"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禁止开发建设活动的要求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限制开发建设活动的要求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允许开发建设活动的要求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不符合空间布局要求活动的退出要求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其他空间布局约束要求</w:t>
            </w:r>
          </w:p>
        </w:tc>
        <w:tc>
          <w:tcPr>
            <w:tcW w:w="2025" w:type="dxa"/>
            <w:noWrap w:val="0"/>
            <w:vAlign w:val="center"/>
          </w:tcPr>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Fonts w:hint="default" w:ascii="Times New Roman" w:hAnsi="Times New Roman" w:eastAsia="宋体" w:cs="Times New Roman"/>
                <w:b w:val="0"/>
                <w:bCs w:val="0"/>
                <w:sz w:val="21"/>
                <w:szCs w:val="21"/>
                <w:lang w:val="en-US" w:eastAsia="zh-CN"/>
              </w:rPr>
              <w:t>本项目所在区域属于一般管控区。根据中华人民共和国国家发展和改革委员会（第29号令）《产业结构调整指导目录（2019年本）》可知，本项目属于鼓励类</w:t>
            </w:r>
            <w:r>
              <w:rPr>
                <w:rFonts w:hint="default" w:ascii="Times New Roman" w:hAnsi="Times New Roman" w:eastAsia="宋体" w:cs="Times New Roman"/>
                <w:b w:val="0"/>
                <w:bCs w:val="0"/>
                <w:sz w:val="24"/>
                <w:szCs w:val="24"/>
                <w:lang w:val="en-US" w:eastAsia="zh-CN"/>
              </w:rPr>
              <w:t>。</w:t>
            </w:r>
          </w:p>
        </w:tc>
        <w:tc>
          <w:tcPr>
            <w:tcW w:w="762"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YS5117253210001</w:t>
            </w:r>
          </w:p>
        </w:tc>
        <w:tc>
          <w:tcPr>
            <w:tcW w:w="87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渠江渠县团堡岭控制单元</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污染物排放管控</w:t>
            </w:r>
          </w:p>
        </w:tc>
        <w:tc>
          <w:tcPr>
            <w:tcW w:w="4320"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城镇污水污染控制措施要求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工业废水污染控制措施要求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农业面源水污染控制措施要求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船舶港口水污染控制措施要求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饮用水水源和其它特殊水体保护要求</w:t>
            </w:r>
          </w:p>
        </w:tc>
        <w:tc>
          <w:tcPr>
            <w:tcW w:w="2025" w:type="dxa"/>
            <w:noWrap w:val="0"/>
            <w:vAlign w:val="center"/>
          </w:tcPr>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Fonts w:hint="default" w:ascii="Times New Roman" w:hAnsi="Times New Roman" w:eastAsia="宋体" w:cs="Times New Roman"/>
                <w:b w:val="0"/>
                <w:bCs w:val="0"/>
                <w:sz w:val="21"/>
                <w:szCs w:val="21"/>
                <w:lang w:val="en-US" w:eastAsia="zh-CN"/>
              </w:rPr>
              <w:t>本项目施工期废水通过处理后循环使用；运营期不排放废水。</w:t>
            </w:r>
          </w:p>
        </w:tc>
        <w:tc>
          <w:tcPr>
            <w:tcW w:w="762"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YS5117253310001</w:t>
            </w:r>
          </w:p>
        </w:tc>
        <w:tc>
          <w:tcPr>
            <w:tcW w:w="870" w:type="dxa"/>
            <w:vMerge w:val="restart"/>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渠县大气环境一般管控区</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空间布局约束</w:t>
            </w:r>
          </w:p>
        </w:tc>
        <w:tc>
          <w:tcPr>
            <w:tcW w:w="4320"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禁止开发建设活动的要求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限制开发建设活动的要求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允许开发建设活动的要求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不符合空间布局要求活动的退出要求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其他空间布局约束要求</w:t>
            </w:r>
          </w:p>
        </w:tc>
        <w:tc>
          <w:tcPr>
            <w:tcW w:w="2025" w:type="dxa"/>
            <w:noWrap w:val="0"/>
            <w:vAlign w:val="center"/>
          </w:tcPr>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Fonts w:hint="default" w:ascii="Times New Roman" w:hAnsi="Times New Roman" w:eastAsia="宋体" w:cs="Times New Roman"/>
                <w:b w:val="0"/>
                <w:bCs w:val="0"/>
                <w:sz w:val="21"/>
                <w:szCs w:val="21"/>
                <w:lang w:val="en-US" w:eastAsia="zh-CN"/>
              </w:rPr>
              <w:t>本项目所在区域属于一般管控区。根据中华人民共和国国家发展和改革委员会（第29号令）《产业结构调整指导目录（2019年本）》可知，本项目属于鼓励类</w:t>
            </w:r>
            <w:r>
              <w:rPr>
                <w:rFonts w:hint="default" w:ascii="Times New Roman" w:hAnsi="Times New Roman" w:eastAsia="宋体" w:cs="Times New Roman"/>
                <w:b w:val="0"/>
                <w:bCs w:val="0"/>
                <w:sz w:val="24"/>
                <w:szCs w:val="24"/>
                <w:lang w:val="en-US" w:eastAsia="zh-CN"/>
              </w:rPr>
              <w:t>。</w:t>
            </w:r>
          </w:p>
        </w:tc>
        <w:tc>
          <w:tcPr>
            <w:tcW w:w="762"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YS5117253310001</w:t>
            </w:r>
          </w:p>
        </w:tc>
        <w:tc>
          <w:tcPr>
            <w:tcW w:w="870" w:type="dxa"/>
            <w:vMerge w:val="continue"/>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渠县大气环境一般管控区</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污染物排放管控</w:t>
            </w:r>
          </w:p>
        </w:tc>
        <w:tc>
          <w:tcPr>
            <w:tcW w:w="4320"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大气环境质量执行标准</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《环境空气质量标准》（GB3095-2012）：二级</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区域大气污染物削减/替代要求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燃煤和其他能源大气污染控制要求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工业废气污染控制要求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机动车船大气污染控制要求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扬尘污染控制要求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农业生产经营活动大气污染控制要求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重点行业企业专项治理要求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其他大气污染物排放管控要求</w:t>
            </w:r>
          </w:p>
        </w:tc>
        <w:tc>
          <w:tcPr>
            <w:tcW w:w="2025"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Fonts w:hint="default" w:ascii="Times New Roman" w:hAnsi="Times New Roman" w:eastAsia="宋体" w:cs="Times New Roman"/>
                <w:b w:val="0"/>
                <w:bCs w:val="0"/>
                <w:sz w:val="21"/>
                <w:szCs w:val="21"/>
                <w:lang w:val="en-US" w:eastAsia="zh-CN"/>
              </w:rPr>
              <w:t>大气污染物严格执行排放限值达标排放；施工期严格执行《四川省建筑工程扬尘污染防治技术导则（试行）》、《四川省施工场地扬尘排放标准》（DB51/2682-2020）相关要求；</w:t>
            </w:r>
            <w:r>
              <w:rPr>
                <w:rFonts w:hint="default" w:ascii="Times New Roman" w:hAnsi="Times New Roman" w:eastAsia="宋体" w:cs="Times New Roman"/>
                <w:b w:val="0"/>
                <w:bCs w:val="0"/>
                <w:kern w:val="0"/>
                <w:sz w:val="21"/>
                <w:szCs w:val="21"/>
                <w:highlight w:val="none"/>
              </w:rPr>
              <w:t>营运期：车辆尾气通过提高燃料品质</w:t>
            </w:r>
            <w:r>
              <w:rPr>
                <w:rFonts w:hint="default" w:ascii="Times New Roman" w:hAnsi="Times New Roman" w:eastAsia="宋体"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车辆加装尾气处理装置</w:t>
            </w:r>
            <w:r>
              <w:rPr>
                <w:rFonts w:hint="default" w:ascii="Times New Roman" w:hAnsi="Times New Roman" w:eastAsia="宋体"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控制车速来防治车辆尾气</w:t>
            </w:r>
            <w:r>
              <w:rPr>
                <w:rFonts w:hint="default" w:ascii="Times New Roman" w:hAnsi="Times New Roman" w:eastAsia="宋体"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扬尘，加强道路两侧绿化控制</w:t>
            </w:r>
            <w:r>
              <w:rPr>
                <w:rFonts w:hint="default" w:ascii="Times New Roman" w:hAnsi="Times New Roman" w:eastAsia="宋体" w:cs="Times New Roman"/>
                <w:b w:val="0"/>
                <w:bCs w:val="0"/>
                <w:kern w:val="0"/>
                <w:sz w:val="21"/>
                <w:szCs w:val="21"/>
                <w:highlight w:val="none"/>
                <w:lang w:eastAsia="zh-CN"/>
              </w:rPr>
              <w:t>；</w:t>
            </w:r>
            <w:r>
              <w:rPr>
                <w:rFonts w:hint="eastAsia" w:eastAsia="宋体" w:cs="Times New Roman"/>
                <w:b w:val="0"/>
                <w:bCs w:val="0"/>
                <w:kern w:val="0"/>
                <w:sz w:val="21"/>
                <w:szCs w:val="21"/>
                <w:highlight w:val="none"/>
                <w:lang w:val="en-US" w:eastAsia="zh-CN"/>
              </w:rPr>
              <w:t>能够满足</w:t>
            </w:r>
            <w:r>
              <w:rPr>
                <w:rStyle w:val="19"/>
                <w:rFonts w:hint="eastAsia" w:ascii="宋体" w:hAnsi="宋体" w:eastAsia="宋体" w:cs="Times New Roman"/>
                <w:kern w:val="2"/>
                <w:sz w:val="21"/>
                <w:szCs w:val="21"/>
                <w:lang w:val="en-US" w:eastAsia="zh-CN" w:bidi="ar-SA"/>
              </w:rPr>
              <w:t>《环境空气质量标准》（GB3095-2012）：二级</w:t>
            </w:r>
          </w:p>
        </w:tc>
        <w:tc>
          <w:tcPr>
            <w:tcW w:w="762"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YS5117251410006</w:t>
            </w:r>
          </w:p>
        </w:tc>
        <w:tc>
          <w:tcPr>
            <w:tcW w:w="870"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渠县土壤优先保护区</w:t>
            </w:r>
          </w:p>
        </w:tc>
        <w:tc>
          <w:tcPr>
            <w:tcW w:w="645" w:type="dxa"/>
            <w:noWrap w:val="0"/>
            <w:vAlign w:val="center"/>
          </w:tcPr>
          <w:p>
            <w:pPr>
              <w:pStyle w:val="33"/>
              <w:widowControl/>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空间布局约束</w:t>
            </w:r>
          </w:p>
        </w:tc>
        <w:tc>
          <w:tcPr>
            <w:tcW w:w="4320" w:type="dxa"/>
            <w:noWrap w:val="0"/>
            <w:vAlign w:val="center"/>
          </w:tcPr>
          <w:p>
            <w:pPr>
              <w:pStyle w:val="33"/>
              <w:widowControl/>
              <w:shd w:val="clear" w:color="auto" w:fill="FFFFFF"/>
              <w:spacing w:line="240" w:lineRule="auto"/>
              <w:ind w:firstLine="0" w:firstLineChars="0"/>
              <w:jc w:val="left"/>
              <w:rPr>
                <w:rStyle w:val="19"/>
                <w:rFonts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禁止开发建设活动的要求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限制开发建设活动的要求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允许开发建设活动的要求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不符合空间布局要求活动的退出要求</w:t>
            </w:r>
          </w:p>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其他空间布局约束要求</w:t>
            </w:r>
          </w:p>
        </w:tc>
        <w:tc>
          <w:tcPr>
            <w:tcW w:w="2025" w:type="dxa"/>
            <w:noWrap w:val="0"/>
            <w:vAlign w:val="center"/>
          </w:tcPr>
          <w:p>
            <w:pPr>
              <w:pStyle w:val="33"/>
              <w:widowControl/>
              <w:shd w:val="clear" w:color="auto" w:fill="FFFFFF"/>
              <w:spacing w:line="240" w:lineRule="auto"/>
              <w:ind w:firstLine="0" w:firstLineChars="0"/>
              <w:jc w:val="left"/>
              <w:rPr>
                <w:rStyle w:val="19"/>
                <w:rFonts w:hint="eastAsia" w:ascii="宋体" w:hAnsi="宋体" w:eastAsia="宋体" w:cs="Times New Roman"/>
                <w:kern w:val="2"/>
                <w:sz w:val="21"/>
                <w:szCs w:val="21"/>
                <w:lang w:val="en-US" w:eastAsia="zh-CN" w:bidi="ar-SA"/>
              </w:rPr>
            </w:pPr>
            <w:r>
              <w:rPr>
                <w:rFonts w:hint="default" w:ascii="Times New Roman" w:hAnsi="Times New Roman" w:eastAsia="宋体" w:cs="Times New Roman"/>
                <w:b w:val="0"/>
                <w:bCs w:val="0"/>
                <w:sz w:val="21"/>
                <w:szCs w:val="21"/>
                <w:lang w:val="en-US" w:eastAsia="zh-CN"/>
              </w:rPr>
              <w:t>根据本项目取得的《关于渠县临巴镇绕场镇改线工程</w:t>
            </w:r>
            <w:r>
              <w:rPr>
                <w:rFonts w:hint="default" w:ascii="Times New Roman" w:hAnsi="Times New Roman" w:eastAsia="宋体" w:cs="Times New Roman"/>
                <w:b w:val="0"/>
                <w:bCs w:val="0"/>
                <w:sz w:val="21"/>
                <w:szCs w:val="21"/>
              </w:rPr>
              <w:t>项目</w:t>
            </w:r>
            <w:r>
              <w:rPr>
                <w:rFonts w:hint="default" w:ascii="Times New Roman" w:hAnsi="Times New Roman" w:eastAsia="宋体" w:cs="Times New Roman"/>
                <w:b w:val="0"/>
                <w:bCs w:val="0"/>
                <w:sz w:val="21"/>
                <w:szCs w:val="21"/>
                <w:lang w:val="en-US" w:eastAsia="zh-CN"/>
              </w:rPr>
              <w:t>规划选址和用地预审意见的复函》本项目用地不涉及基本农田。</w:t>
            </w:r>
          </w:p>
        </w:tc>
        <w:tc>
          <w:tcPr>
            <w:tcW w:w="762" w:type="dxa"/>
            <w:noWrap w:val="0"/>
            <w:vAlign w:val="center"/>
          </w:tcPr>
          <w:p>
            <w:pPr>
              <w:pStyle w:val="33"/>
              <w:widowControl/>
              <w:shd w:val="clear" w:color="auto" w:fill="FFFFFF"/>
              <w:spacing w:line="240" w:lineRule="auto"/>
              <w:ind w:firstLine="0" w:firstLineChars="0"/>
              <w:jc w:val="left"/>
              <w:rPr>
                <w:rStyle w:val="19"/>
                <w:rFonts w:hint="default" w:ascii="宋体" w:hAnsi="宋体" w:eastAsia="宋体" w:cs="Times New Roman"/>
                <w:kern w:val="2"/>
                <w:sz w:val="21"/>
                <w:szCs w:val="21"/>
                <w:lang w:val="en-US" w:eastAsia="zh-CN" w:bidi="ar-SA"/>
              </w:rPr>
            </w:pPr>
            <w:r>
              <w:rPr>
                <w:rStyle w:val="19"/>
                <w:rFonts w:hint="eastAsia" w:ascii="宋体" w:hAnsi="宋体" w:eastAsia="宋体" w:cs="Times New Roman"/>
                <w:kern w:val="2"/>
                <w:sz w:val="21"/>
                <w:szCs w:val="21"/>
                <w:lang w:val="en-US" w:eastAsia="zh-CN" w:bidi="ar-SA"/>
              </w:rPr>
              <w:t>符合</w:t>
            </w:r>
          </w:p>
        </w:tc>
      </w:tr>
    </w:tbl>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rPr>
      </w:pP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rPr>
      </w:pPr>
      <w:r>
        <w:rPr>
          <w:rFonts w:hint="default" w:ascii="Times New Roman" w:hAnsi="Times New Roman" w:eastAsia="宋体" w:cs="Times New Roman"/>
          <w:b w:val="0"/>
          <w:bCs w:val="0"/>
          <w:sz w:val="24"/>
          <w:szCs w:val="24"/>
        </w:rPr>
        <w:t>综上所述，本项目符合“三线一单”管控要求。</w:t>
      </w:r>
    </w:p>
    <w:p>
      <w:pPr>
        <w:pStyle w:val="4"/>
        <w:bidi w:val="0"/>
        <w:rPr>
          <w:rFonts w:hint="default" w:ascii="Times New Roman" w:hAnsi="Times New Roman" w:cs="Times New Roman"/>
          <w:lang w:val="en-US" w:eastAsia="zh-CN"/>
        </w:rPr>
      </w:pPr>
      <w:bookmarkStart w:id="30" w:name="_bookmark6"/>
      <w:bookmarkEnd w:id="30"/>
      <w:bookmarkStart w:id="31" w:name="_bookmark6"/>
      <w:bookmarkEnd w:id="31"/>
      <w:bookmarkStart w:id="32" w:name="1.6 评价标准"/>
      <w:bookmarkEnd w:id="32"/>
      <w:bookmarkStart w:id="33" w:name="_Toc4238"/>
      <w:r>
        <w:rPr>
          <w:rFonts w:hint="default" w:ascii="Times New Roman" w:hAnsi="Times New Roman" w:cs="Times New Roman"/>
          <w:lang w:val="en-US" w:eastAsia="zh-CN"/>
        </w:rPr>
        <w:t>1.6.评价标准</w:t>
      </w:r>
      <w:bookmarkEnd w:id="33"/>
    </w:p>
    <w:p>
      <w:pPr>
        <w:pStyle w:val="5"/>
        <w:bidi w:val="0"/>
        <w:rPr>
          <w:rFonts w:hint="default" w:ascii="Times New Roman" w:hAnsi="Times New Roman" w:cs="Times New Roman"/>
          <w:lang w:val="en-US" w:eastAsia="zh-CN"/>
        </w:rPr>
      </w:pPr>
      <w:bookmarkStart w:id="34" w:name="1.6.1 声环境"/>
      <w:bookmarkEnd w:id="34"/>
      <w:bookmarkStart w:id="35" w:name="1.6.1 声环境"/>
      <w:bookmarkEnd w:id="35"/>
      <w:r>
        <w:rPr>
          <w:rFonts w:hint="default" w:ascii="Times New Roman" w:hAnsi="Times New Roman" w:cs="Times New Roman"/>
          <w:lang w:val="en-US" w:eastAsia="zh-CN"/>
        </w:rPr>
        <w:t>1.6.1声环境</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项目所在区域基本为农村地区，施工期：噪声执行《建筑施工场界环境噪声排放标准》GB12523-2011）中的相关限值；运营期：距公路红线35m以内区域的声环境敏感目标执行《声环境质量标准》（GB3096-2008）4a类标准，距公路红线35m以外区域的声环境敏感目标执行《声环境质量标准》（GB3096-2008）2类标准；沿线学校</w:t>
      </w:r>
      <w:r>
        <w:rPr>
          <w:rFonts w:hint="eastAsia" w:ascii="Times New Roman" w:hAnsi="Times New Roman" w:cs="Times New Roman"/>
          <w:lang w:eastAsia="zh-CN"/>
        </w:rPr>
        <w:t>、</w:t>
      </w:r>
      <w:r>
        <w:rPr>
          <w:rFonts w:hint="default" w:ascii="Times New Roman" w:hAnsi="Times New Roman" w:cs="Times New Roman"/>
        </w:rPr>
        <w:t>医院等特殊敏感建筑，室外昼间按60dB</w:t>
      </w:r>
      <w:r>
        <w:rPr>
          <w:rFonts w:hint="eastAsia" w:ascii="Times New Roman" w:hAnsi="Times New Roman" w:cs="Times New Roman"/>
          <w:lang w:eastAsia="zh-CN"/>
        </w:rPr>
        <w:t>、</w:t>
      </w:r>
      <w:r>
        <w:rPr>
          <w:rFonts w:hint="default" w:ascii="Times New Roman" w:hAnsi="Times New Roman" w:cs="Times New Roman"/>
        </w:rPr>
        <w:t>夜间按50dB执行。</w:t>
      </w:r>
    </w:p>
    <w:p>
      <w:pPr>
        <w:pStyle w:val="5"/>
        <w:bidi w:val="0"/>
        <w:rPr>
          <w:rFonts w:hint="default" w:ascii="Times New Roman" w:hAnsi="Times New Roman" w:cs="Times New Roman"/>
          <w:lang w:val="en-US" w:eastAsia="zh-CN"/>
        </w:rPr>
      </w:pPr>
      <w:bookmarkStart w:id="36" w:name="1.6.2 水环境"/>
      <w:bookmarkEnd w:id="36"/>
      <w:bookmarkStart w:id="37" w:name="1.6.2 水环境"/>
      <w:bookmarkEnd w:id="37"/>
      <w:r>
        <w:rPr>
          <w:rFonts w:hint="default" w:ascii="Times New Roman" w:hAnsi="Times New Roman" w:cs="Times New Roman"/>
          <w:lang w:val="en-US" w:eastAsia="zh-CN"/>
        </w:rPr>
        <w:t>1.6.2.水环境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1、环境质量标准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zh-CN" w:eastAsia="zh-CN" w:bidi="zh-CN"/>
        </w:rPr>
      </w:pPr>
      <w:r>
        <w:rPr>
          <w:rFonts w:hint="default" w:ascii="Times New Roman" w:hAnsi="Times New Roman" w:cs="Times New Roman"/>
          <w:sz w:val="24"/>
          <w:szCs w:val="24"/>
          <w:lang w:val="zh-CN" w:eastAsia="zh-CN"/>
        </w:rPr>
        <w:t>项目沿线地表水体执行《地表水环境质量标准》（GB3838-2002）Ⅲ类标准。详见表 1.6-1。</w:t>
      </w:r>
    </w:p>
    <w:p>
      <w:pPr>
        <w:tabs>
          <w:tab w:val="left" w:pos="6761"/>
        </w:tabs>
        <w:spacing w:before="0" w:after="28" w:line="268" w:lineRule="exact"/>
        <w:ind w:left="1859" w:right="0" w:firstLine="0"/>
        <w:jc w:val="left"/>
        <w:rPr>
          <w:rFonts w:hint="default" w:ascii="Times New Roman" w:hAnsi="Times New Roman" w:eastAsia="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1.6-1</w:t>
      </w:r>
      <w:r>
        <w:rPr>
          <w:rFonts w:hint="default" w:ascii="Times New Roman" w:hAnsi="Times New Roman" w:eastAsia="Times New Roman" w:cs="Times New Roman"/>
          <w:b/>
          <w:spacing w:val="50"/>
          <w:sz w:val="21"/>
        </w:rPr>
        <w:t xml:space="preserve"> </w:t>
      </w:r>
      <w:r>
        <w:rPr>
          <w:rFonts w:hint="default" w:ascii="Times New Roman" w:hAnsi="Times New Roman" w:cs="Times New Roman"/>
          <w:b/>
          <w:sz w:val="21"/>
        </w:rPr>
        <w:t>《地表水环境质量标准》</w:t>
      </w:r>
      <w:r>
        <w:rPr>
          <w:rFonts w:hint="default" w:ascii="Times New Roman" w:hAnsi="Times New Roman" w:eastAsia="Times New Roman" w:cs="Times New Roman"/>
          <w:b/>
          <w:sz w:val="21"/>
        </w:rPr>
        <w:t>(GB3838-2002)</w:t>
      </w:r>
      <w:r>
        <w:rPr>
          <w:rFonts w:hint="default" w:ascii="Times New Roman" w:hAnsi="Times New Roman" w:eastAsia="Times New Roman" w:cs="Times New Roman"/>
          <w:b/>
          <w:sz w:val="21"/>
        </w:rPr>
        <w:tab/>
      </w:r>
      <w:r>
        <w:rPr>
          <w:rFonts w:hint="default" w:ascii="Times New Roman" w:hAnsi="Times New Roman" w:cs="Times New Roman"/>
          <w:b/>
          <w:sz w:val="21"/>
        </w:rPr>
        <w:t>单位：</w:t>
      </w:r>
      <w:r>
        <w:rPr>
          <w:rFonts w:hint="default" w:ascii="Times New Roman" w:hAnsi="Times New Roman" w:eastAsia="Times New Roman" w:cs="Times New Roman"/>
          <w:b/>
          <w:sz w:val="21"/>
        </w:rPr>
        <w:t>mg/L</w:t>
      </w:r>
      <w:r>
        <w:rPr>
          <w:rFonts w:hint="eastAsia" w:ascii="Times New Roman" w:hAnsi="Times New Roman" w:eastAsia="宋体" w:cs="Times New Roman"/>
          <w:b/>
          <w:sz w:val="21"/>
          <w:lang w:eastAsia="zh-CN"/>
        </w:rPr>
        <w:t>（</w:t>
      </w:r>
      <w:r>
        <w:rPr>
          <w:rFonts w:hint="default" w:ascii="Times New Roman" w:hAnsi="Times New Roman" w:eastAsia="Times New Roman" w:cs="Times New Roman"/>
          <w:b/>
          <w:sz w:val="21"/>
        </w:rPr>
        <w:t>pH</w:t>
      </w:r>
      <w:r>
        <w:rPr>
          <w:rFonts w:hint="default" w:ascii="Times New Roman" w:hAnsi="Times New Roman" w:eastAsia="Times New Roman" w:cs="Times New Roman"/>
          <w:b/>
          <w:spacing w:val="-1"/>
          <w:sz w:val="21"/>
        </w:rPr>
        <w:t xml:space="preserve"> </w:t>
      </w:r>
      <w:r>
        <w:rPr>
          <w:rFonts w:hint="default" w:ascii="Times New Roman" w:hAnsi="Times New Roman" w:cs="Times New Roman"/>
          <w:b/>
          <w:sz w:val="21"/>
        </w:rPr>
        <w:t>除外</w:t>
      </w:r>
      <w:r>
        <w:rPr>
          <w:rFonts w:hint="eastAsia" w:ascii="Times New Roman" w:hAnsi="Times New Roman" w:cs="Times New Roman"/>
          <w:b/>
          <w:sz w:val="21"/>
          <w:lang w:eastAsia="zh-CN"/>
        </w:rPr>
        <w:t>）</w:t>
      </w:r>
    </w:p>
    <w:tbl>
      <w:tblPr>
        <w:tblStyle w:val="17"/>
        <w:tblW w:w="475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819"/>
        <w:gridCol w:w="1806"/>
        <w:gridCol w:w="1806"/>
        <w:gridCol w:w="1806"/>
        <w:gridCol w:w="1810"/>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8" w:hRule="atLeast"/>
          <w:jc w:val="center"/>
        </w:trPr>
        <w:tc>
          <w:tcPr>
            <w:tcW w:w="1820" w:type="dxa"/>
            <w:tcBorders>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805"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pH</w:t>
            </w:r>
          </w:p>
        </w:tc>
        <w:tc>
          <w:tcPr>
            <w:tcW w:w="1805"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1805"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化学需氧量</w:t>
            </w:r>
          </w:p>
        </w:tc>
        <w:tc>
          <w:tcPr>
            <w:tcW w:w="1809" w:type="dxa"/>
            <w:tcBorders>
              <w:left w:val="single" w:color="000000" w:sz="4" w:space="0"/>
              <w:bottom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石油类</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7" w:hRule="atLeast"/>
          <w:jc w:val="center"/>
        </w:trPr>
        <w:tc>
          <w:tcPr>
            <w:tcW w:w="1820" w:type="dxa"/>
            <w:tcBorders>
              <w:top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Ⅲ类标准</w:t>
            </w:r>
          </w:p>
        </w:tc>
        <w:tc>
          <w:tcPr>
            <w:tcW w:w="1805"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6～9</w:t>
            </w:r>
          </w:p>
        </w:tc>
        <w:tc>
          <w:tcPr>
            <w:tcW w:w="1805"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805"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809" w:type="dxa"/>
            <w:tcBorders>
              <w:top w:val="single" w:color="000000" w:sz="4" w:space="0"/>
              <w:lef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≤0.05</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zh-CN"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right="0" w:right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2、废水排放标准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right="0" w:rightChars="0"/>
        <w:textAlignment w:val="auto"/>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废水排入设置有二级污水处理厂的城镇排水系统的污水，执行《污水综合排放标准》（GB8978-1996）中三级标准；直接排入地表水体的执行《污水综合排放标准》（GB8978-1996）中一级标准，标准值见表 1.6-2。</w:t>
      </w:r>
    </w:p>
    <w:p>
      <w:pPr>
        <w:tabs>
          <w:tab w:val="left" w:pos="7820"/>
        </w:tabs>
        <w:spacing w:before="0" w:after="27" w:line="269" w:lineRule="exact"/>
        <w:ind w:left="2056" w:right="0" w:firstLine="0"/>
        <w:jc w:val="left"/>
        <w:rPr>
          <w:rFonts w:hint="default" w:ascii="Times New Roman" w:hAnsi="Times New Roman" w:eastAsia="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 xml:space="preserve">1.6-2  </w:t>
      </w:r>
      <w:r>
        <w:rPr>
          <w:rFonts w:hint="default" w:ascii="Times New Roman" w:hAnsi="Times New Roman" w:eastAsia="Times New Roman" w:cs="Times New Roman"/>
          <w:b/>
          <w:spacing w:val="8"/>
          <w:sz w:val="21"/>
        </w:rPr>
        <w:t xml:space="preserve"> </w:t>
      </w:r>
      <w:r>
        <w:rPr>
          <w:rFonts w:hint="default" w:ascii="Times New Roman" w:hAnsi="Times New Roman" w:cs="Times New Roman"/>
          <w:b/>
          <w:sz w:val="21"/>
        </w:rPr>
        <w:t>《污水综合排放标准</w:t>
      </w:r>
      <w:r>
        <w:rPr>
          <w:rFonts w:hint="default" w:ascii="Times New Roman" w:hAnsi="Times New Roman" w:cs="Times New Roman"/>
          <w:b/>
          <w:spacing w:val="-44"/>
          <w:sz w:val="21"/>
        </w:rPr>
        <w:t>》</w:t>
      </w:r>
      <w:r>
        <w:rPr>
          <w:rFonts w:hint="default" w:ascii="Times New Roman" w:hAnsi="Times New Roman" w:cs="Times New Roman"/>
          <w:b/>
          <w:spacing w:val="-44"/>
          <w:sz w:val="21"/>
          <w:lang w:val="en-US" w:eastAsia="zh-CN"/>
        </w:rPr>
        <w:t xml:space="preserve">    </w:t>
      </w:r>
      <w:r>
        <w:rPr>
          <w:rFonts w:hint="default" w:ascii="Times New Roman" w:hAnsi="Times New Roman" w:eastAsia="Times New Roman" w:cs="Times New Roman"/>
          <w:b/>
          <w:sz w:val="21"/>
        </w:rPr>
        <w:t>(GB8978-1996)</w:t>
      </w:r>
      <w:r>
        <w:rPr>
          <w:rFonts w:hint="default" w:ascii="Times New Roman" w:hAnsi="Times New Roman" w:eastAsia="宋体" w:cs="Times New Roman"/>
          <w:b/>
          <w:sz w:val="21"/>
          <w:lang w:val="en-US" w:eastAsia="zh-CN"/>
        </w:rPr>
        <w:t xml:space="preserve">     </w:t>
      </w:r>
      <w:r>
        <w:rPr>
          <w:rFonts w:hint="default" w:ascii="Times New Roman" w:hAnsi="Times New Roman" w:cs="Times New Roman"/>
          <w:b/>
          <w:sz w:val="21"/>
        </w:rPr>
        <w:t>单位</w:t>
      </w:r>
      <w:r>
        <w:rPr>
          <w:rFonts w:hint="default" w:ascii="Times New Roman" w:hAnsi="Times New Roman" w:cs="Times New Roman"/>
          <w:b/>
          <w:spacing w:val="-10"/>
          <w:sz w:val="21"/>
        </w:rPr>
        <w:t>：</w:t>
      </w:r>
      <w:r>
        <w:rPr>
          <w:rFonts w:hint="default" w:ascii="Times New Roman" w:hAnsi="Times New Roman" w:eastAsia="Times New Roman" w:cs="Times New Roman"/>
          <w:b/>
          <w:spacing w:val="-10"/>
          <w:sz w:val="21"/>
        </w:rPr>
        <w:t>mg/L</w:t>
      </w:r>
    </w:p>
    <w:tbl>
      <w:tblPr>
        <w:tblStyle w:val="17"/>
        <w:tblW w:w="475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891"/>
        <w:gridCol w:w="2396"/>
        <w:gridCol w:w="2765"/>
        <w:gridCol w:w="1500"/>
        <w:gridCol w:w="1494"/>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889" w:type="dxa"/>
            <w:tcBorders>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393" w:type="dxa"/>
            <w:tcBorders>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2761" w:type="dxa"/>
            <w:tcBorders>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适用范围</w:t>
            </w:r>
          </w:p>
        </w:tc>
        <w:tc>
          <w:tcPr>
            <w:tcW w:w="1499" w:type="dxa"/>
            <w:tcBorders>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三级标准</w:t>
            </w:r>
          </w:p>
        </w:tc>
        <w:tc>
          <w:tcPr>
            <w:tcW w:w="1493" w:type="dxa"/>
            <w:tcBorders>
              <w:left w:val="single" w:color="000000" w:sz="6" w:space="0"/>
              <w:bottom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一级标准</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889" w:type="dxa"/>
            <w:tcBorders>
              <w:top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393"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pH</w:t>
            </w:r>
          </w:p>
        </w:tc>
        <w:tc>
          <w:tcPr>
            <w:tcW w:w="2761"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一切排污单位</w:t>
            </w:r>
          </w:p>
        </w:tc>
        <w:tc>
          <w:tcPr>
            <w:tcW w:w="1499"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6-9</w:t>
            </w:r>
          </w:p>
        </w:tc>
        <w:tc>
          <w:tcPr>
            <w:tcW w:w="1493" w:type="dxa"/>
            <w:tcBorders>
              <w:top w:val="single" w:color="000000" w:sz="6" w:space="0"/>
              <w:left w:val="single" w:color="000000" w:sz="6" w:space="0"/>
              <w:bottom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6-9</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7" w:hRule="atLeast"/>
          <w:jc w:val="center"/>
        </w:trPr>
        <w:tc>
          <w:tcPr>
            <w:tcW w:w="889" w:type="dxa"/>
            <w:tcBorders>
              <w:top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393"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悬浮物（SS）</w:t>
            </w:r>
          </w:p>
        </w:tc>
        <w:tc>
          <w:tcPr>
            <w:tcW w:w="2761"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其它排污单位</w:t>
            </w:r>
          </w:p>
        </w:tc>
        <w:tc>
          <w:tcPr>
            <w:tcW w:w="1499"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1493" w:type="dxa"/>
            <w:tcBorders>
              <w:top w:val="single" w:color="000000" w:sz="6" w:space="0"/>
              <w:left w:val="single" w:color="000000" w:sz="6" w:space="0"/>
              <w:bottom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50" w:hRule="atLeast"/>
          <w:jc w:val="center"/>
        </w:trPr>
        <w:tc>
          <w:tcPr>
            <w:tcW w:w="889" w:type="dxa"/>
            <w:tcBorders>
              <w:top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393"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化学需氧量（CODCr）</w:t>
            </w:r>
          </w:p>
        </w:tc>
        <w:tc>
          <w:tcPr>
            <w:tcW w:w="2761"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其它排污单位</w:t>
            </w:r>
          </w:p>
        </w:tc>
        <w:tc>
          <w:tcPr>
            <w:tcW w:w="1499"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1493" w:type="dxa"/>
            <w:tcBorders>
              <w:top w:val="single" w:color="000000" w:sz="6" w:space="0"/>
              <w:left w:val="single" w:color="000000" w:sz="6" w:space="0"/>
              <w:bottom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889" w:type="dxa"/>
            <w:tcBorders>
              <w:top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393"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生化需氧量（BOD5）</w:t>
            </w:r>
          </w:p>
        </w:tc>
        <w:tc>
          <w:tcPr>
            <w:tcW w:w="2761"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其它排污单位</w:t>
            </w:r>
          </w:p>
        </w:tc>
        <w:tc>
          <w:tcPr>
            <w:tcW w:w="1499"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1493" w:type="dxa"/>
            <w:tcBorders>
              <w:top w:val="single" w:color="000000" w:sz="6" w:space="0"/>
              <w:left w:val="single" w:color="000000" w:sz="6" w:space="0"/>
              <w:bottom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7" w:hRule="atLeast"/>
          <w:jc w:val="center"/>
        </w:trPr>
        <w:tc>
          <w:tcPr>
            <w:tcW w:w="889" w:type="dxa"/>
            <w:tcBorders>
              <w:top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393"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石油类</w:t>
            </w:r>
          </w:p>
        </w:tc>
        <w:tc>
          <w:tcPr>
            <w:tcW w:w="2761"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一切排污单位</w:t>
            </w:r>
          </w:p>
        </w:tc>
        <w:tc>
          <w:tcPr>
            <w:tcW w:w="1499" w:type="dxa"/>
            <w:tcBorders>
              <w:top w:val="single" w:color="000000" w:sz="6" w:space="0"/>
              <w:left w:val="single" w:color="000000" w:sz="6" w:space="0"/>
              <w:bottom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493" w:type="dxa"/>
            <w:tcBorders>
              <w:top w:val="single" w:color="000000" w:sz="6" w:space="0"/>
              <w:left w:val="single" w:color="000000" w:sz="6" w:space="0"/>
              <w:bottom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889" w:type="dxa"/>
            <w:tcBorders>
              <w:top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393" w:type="dxa"/>
            <w:tcBorders>
              <w:top w:val="single" w:color="000000" w:sz="6" w:space="0"/>
              <w:left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2761" w:type="dxa"/>
            <w:tcBorders>
              <w:top w:val="single" w:color="000000" w:sz="6" w:space="0"/>
              <w:left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其他排污单位</w:t>
            </w:r>
          </w:p>
        </w:tc>
        <w:tc>
          <w:tcPr>
            <w:tcW w:w="1499" w:type="dxa"/>
            <w:tcBorders>
              <w:top w:val="single" w:color="000000" w:sz="6" w:space="0"/>
              <w:left w:val="single" w:color="000000" w:sz="6" w:space="0"/>
              <w:righ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493" w:type="dxa"/>
            <w:tcBorders>
              <w:top w:val="single" w:color="000000" w:sz="6" w:space="0"/>
              <w:left w:val="single" w:color="000000" w:sz="6"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bl>
    <w:p>
      <w:pPr>
        <w:pStyle w:val="2"/>
        <w:spacing w:before="9"/>
        <w:rPr>
          <w:rFonts w:hint="default" w:ascii="Times New Roman" w:hAnsi="Times New Roman" w:cs="Times New Roman"/>
          <w:b/>
          <w:sz w:val="18"/>
        </w:rPr>
      </w:pPr>
    </w:p>
    <w:p>
      <w:pPr>
        <w:pStyle w:val="5"/>
        <w:bidi w:val="0"/>
        <w:rPr>
          <w:rFonts w:hint="default" w:ascii="Times New Roman" w:hAnsi="Times New Roman" w:cs="Times New Roman"/>
          <w:lang w:val="en-US" w:eastAsia="zh-CN"/>
        </w:rPr>
      </w:pPr>
      <w:bookmarkStart w:id="38" w:name="1.6.3 大气环境"/>
      <w:bookmarkEnd w:id="38"/>
      <w:bookmarkStart w:id="39" w:name="1.6.3 大气环境"/>
      <w:bookmarkEnd w:id="39"/>
      <w:r>
        <w:rPr>
          <w:rFonts w:hint="default" w:ascii="Times New Roman" w:hAnsi="Times New Roman" w:cs="Times New Roman"/>
          <w:lang w:val="en-US" w:eastAsia="zh-CN"/>
        </w:rPr>
        <w:t>1.6.3.大气环境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1、环境质量标准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项目区域环境空气质量执行《环境空气质量标准》</w:t>
      </w:r>
      <w:r>
        <w:rPr>
          <w:rFonts w:hint="eastAsia" w:ascii="Times New Roman" w:hAnsi="Times New Roman" w:cs="Times New Roman"/>
          <w:sz w:val="24"/>
          <w:szCs w:val="24"/>
          <w:lang w:val="zh-CN" w:eastAsia="zh-CN"/>
        </w:rPr>
        <w:t>（</w:t>
      </w:r>
      <w:r>
        <w:rPr>
          <w:rFonts w:hint="default" w:ascii="Times New Roman" w:hAnsi="Times New Roman" w:cs="Times New Roman"/>
          <w:sz w:val="24"/>
          <w:szCs w:val="24"/>
          <w:lang w:val="zh-CN" w:eastAsia="zh-CN"/>
        </w:rPr>
        <w:t>GB3095-2012</w:t>
      </w:r>
      <w:r>
        <w:rPr>
          <w:rFonts w:hint="eastAsia" w:ascii="Times New Roman" w:hAnsi="Times New Roman" w:cs="Times New Roman"/>
          <w:sz w:val="24"/>
          <w:szCs w:val="24"/>
          <w:lang w:val="zh-CN" w:eastAsia="zh-CN"/>
        </w:rPr>
        <w:t>）</w:t>
      </w:r>
      <w:r>
        <w:rPr>
          <w:rFonts w:hint="default" w:ascii="Times New Roman" w:hAnsi="Times New Roman" w:cs="Times New Roman"/>
          <w:sz w:val="24"/>
          <w:szCs w:val="24"/>
          <w:lang w:val="zh-CN" w:eastAsia="zh-CN"/>
        </w:rPr>
        <w:t>二级标准。标准值见表 1.6-3。</w:t>
      </w:r>
    </w:p>
    <w:p>
      <w:pPr>
        <w:spacing w:before="0" w:after="27" w:line="268" w:lineRule="exact"/>
        <w:ind w:left="0" w:right="34" w:firstLine="0"/>
        <w:jc w:val="center"/>
        <w:rPr>
          <w:rFonts w:hint="default" w:ascii="Times New Roman" w:hAnsi="Times New Roman" w:eastAsia="Times New Roman" w:cs="Times New Roman"/>
          <w:b/>
          <w:sz w:val="21"/>
        </w:rPr>
      </w:pPr>
      <w:r>
        <w:rPr>
          <w:rFonts w:hint="default" w:ascii="Times New Roman" w:hAnsi="Times New Roman" w:cs="Times New Roman"/>
          <w:b/>
          <w:spacing w:val="-26"/>
          <w:sz w:val="21"/>
        </w:rPr>
        <w:t xml:space="preserve">表 </w:t>
      </w:r>
      <w:r>
        <w:rPr>
          <w:rFonts w:hint="default" w:ascii="Times New Roman" w:hAnsi="Times New Roman" w:eastAsia="Times New Roman" w:cs="Times New Roman"/>
          <w:b/>
          <w:sz w:val="21"/>
        </w:rPr>
        <w:t>1.6-3</w:t>
      </w:r>
      <w:r>
        <w:rPr>
          <w:rFonts w:hint="default" w:ascii="Times New Roman" w:hAnsi="Times New Roman" w:eastAsia="Times New Roman" w:cs="Times New Roman"/>
          <w:b/>
          <w:spacing w:val="51"/>
          <w:sz w:val="21"/>
        </w:rPr>
        <w:t xml:space="preserve"> </w:t>
      </w:r>
      <w:r>
        <w:rPr>
          <w:rFonts w:hint="default" w:ascii="Times New Roman" w:hAnsi="Times New Roman" w:cs="Times New Roman"/>
          <w:b/>
          <w:spacing w:val="-1"/>
          <w:sz w:val="21"/>
        </w:rPr>
        <w:t>《环境空气质量标准》</w:t>
      </w:r>
      <w:r>
        <w:rPr>
          <w:rFonts w:hint="default" w:ascii="Times New Roman" w:hAnsi="Times New Roman" w:eastAsia="Times New Roman" w:cs="Times New Roman"/>
          <w:b/>
          <w:sz w:val="21"/>
        </w:rPr>
        <w:t>(GB3095-2012)</w:t>
      </w:r>
    </w:p>
    <w:tbl>
      <w:tblPr>
        <w:tblStyle w:val="17"/>
        <w:tblW w:w="475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453"/>
        <w:gridCol w:w="1036"/>
        <w:gridCol w:w="1046"/>
        <w:gridCol w:w="1053"/>
        <w:gridCol w:w="902"/>
        <w:gridCol w:w="1203"/>
        <w:gridCol w:w="1200"/>
        <w:gridCol w:w="1053"/>
        <w:gridCol w:w="1100"/>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43" w:hRule="atLeast"/>
          <w:jc w:val="center"/>
        </w:trPr>
        <w:tc>
          <w:tcPr>
            <w:tcW w:w="1486" w:type="dxa"/>
            <w:gridSpan w:val="2"/>
            <w:tcBorders>
              <w:bottom w:val="single" w:color="000000" w:sz="4" w:space="0"/>
              <w:right w:val="single" w:color="000000" w:sz="4" w:space="0"/>
            </w:tcBorders>
            <w:vAlign w:val="center"/>
          </w:tcPr>
          <w:p>
            <w:pPr>
              <w:pStyle w:val="23"/>
              <w:spacing w:before="3"/>
              <w:jc w:val="center"/>
              <w:rPr>
                <w:rFonts w:hint="default" w:ascii="Times New Roman" w:hAnsi="Times New Roman" w:eastAsia="宋体" w:cs="Times New Roman"/>
                <w:b/>
                <w:sz w:val="21"/>
                <w:szCs w:val="21"/>
              </w:rPr>
            </w:pPr>
          </w:p>
          <w:p>
            <w:pPr>
              <w:pStyle w:val="23"/>
              <w:tabs>
                <w:tab w:val="left" w:pos="559"/>
              </w:tabs>
              <w:ind w:left="13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目</w:t>
            </w:r>
          </w:p>
        </w:tc>
        <w:tc>
          <w:tcPr>
            <w:tcW w:w="1044" w:type="dxa"/>
            <w:tcBorders>
              <w:left w:val="single" w:color="000000" w:sz="4" w:space="0"/>
              <w:bottom w:val="single" w:color="000000" w:sz="4" w:space="0"/>
              <w:right w:val="single" w:color="000000" w:sz="4" w:space="0"/>
            </w:tcBorders>
            <w:vAlign w:val="center"/>
          </w:tcPr>
          <w:p>
            <w:pPr>
              <w:pStyle w:val="23"/>
              <w:spacing w:before="61"/>
              <w:ind w:left="117"/>
              <w:jc w:val="center"/>
              <w:rPr>
                <w:rFonts w:hint="default" w:ascii="Times New Roman" w:hAnsi="Times New Roman" w:eastAsia="宋体" w:cs="Times New Roman"/>
                <w:sz w:val="21"/>
                <w:szCs w:val="21"/>
              </w:rPr>
            </w:pPr>
            <w:r>
              <w:rPr>
                <w:rFonts w:hint="default" w:ascii="Times New Roman" w:hAnsi="Times New Roman" w:eastAsia="宋体" w:cs="Times New Roman"/>
                <w:position w:val="2"/>
                <w:sz w:val="21"/>
                <w:szCs w:val="21"/>
              </w:rPr>
              <w:t>SO</w:t>
            </w:r>
            <w:r>
              <w:rPr>
                <w:rFonts w:hint="default" w:ascii="Times New Roman" w:hAnsi="Times New Roman" w:eastAsia="宋体" w:cs="Times New Roman"/>
                <w:sz w:val="21"/>
                <w:szCs w:val="21"/>
              </w:rPr>
              <w:t>2</w:t>
            </w:r>
          </w:p>
          <w:p>
            <w:pPr>
              <w:pStyle w:val="23"/>
              <w:spacing w:before="70" w:line="245" w:lineRule="exact"/>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ug/m</w:t>
            </w:r>
            <w:r>
              <w:rPr>
                <w:rFonts w:hint="default" w:ascii="Times New Roman" w:hAnsi="Times New Roman" w:eastAsia="宋体" w:cs="Times New Roman"/>
                <w:position w:val="7"/>
                <w:sz w:val="21"/>
                <w:szCs w:val="21"/>
              </w:rPr>
              <w:t>3</w:t>
            </w:r>
          </w:p>
        </w:tc>
        <w:tc>
          <w:tcPr>
            <w:tcW w:w="1052" w:type="dxa"/>
            <w:tcBorders>
              <w:left w:val="single" w:color="000000" w:sz="4" w:space="0"/>
              <w:bottom w:val="single" w:color="000000" w:sz="4" w:space="0"/>
              <w:right w:val="single" w:color="000000" w:sz="4" w:space="0"/>
            </w:tcBorders>
            <w:vAlign w:val="center"/>
          </w:tcPr>
          <w:p>
            <w:pPr>
              <w:pStyle w:val="23"/>
              <w:spacing w:before="61"/>
              <w:ind w:left="117"/>
              <w:jc w:val="center"/>
              <w:rPr>
                <w:rFonts w:hint="default" w:ascii="Times New Roman" w:hAnsi="Times New Roman" w:eastAsia="宋体" w:cs="Times New Roman"/>
                <w:sz w:val="21"/>
                <w:szCs w:val="21"/>
              </w:rPr>
            </w:pPr>
            <w:r>
              <w:rPr>
                <w:rFonts w:hint="default" w:ascii="Times New Roman" w:hAnsi="Times New Roman" w:eastAsia="宋体" w:cs="Times New Roman"/>
                <w:position w:val="2"/>
                <w:sz w:val="21"/>
                <w:szCs w:val="21"/>
              </w:rPr>
              <w:t>PM</w:t>
            </w:r>
            <w:r>
              <w:rPr>
                <w:rFonts w:hint="default" w:ascii="Times New Roman" w:hAnsi="Times New Roman" w:eastAsia="宋体" w:cs="Times New Roman"/>
                <w:sz w:val="21"/>
                <w:szCs w:val="21"/>
              </w:rPr>
              <w:t>10</w:t>
            </w:r>
          </w:p>
          <w:p>
            <w:pPr>
              <w:pStyle w:val="23"/>
              <w:spacing w:before="70" w:line="245" w:lineRule="exact"/>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ug/m</w:t>
            </w:r>
            <w:r>
              <w:rPr>
                <w:rFonts w:hint="default" w:ascii="Times New Roman" w:hAnsi="Times New Roman" w:eastAsia="宋体" w:cs="Times New Roman"/>
                <w:position w:val="7"/>
                <w:sz w:val="21"/>
                <w:szCs w:val="21"/>
              </w:rPr>
              <w:t>3</w:t>
            </w:r>
          </w:p>
        </w:tc>
        <w:tc>
          <w:tcPr>
            <w:tcW w:w="901" w:type="dxa"/>
            <w:tcBorders>
              <w:left w:val="single" w:color="000000" w:sz="4" w:space="0"/>
              <w:bottom w:val="single" w:color="000000" w:sz="4" w:space="0"/>
              <w:right w:val="single" w:color="000000" w:sz="4" w:space="0"/>
            </w:tcBorders>
            <w:vAlign w:val="center"/>
          </w:tcPr>
          <w:p>
            <w:pPr>
              <w:pStyle w:val="23"/>
              <w:spacing w:before="61"/>
              <w:ind w:left="116"/>
              <w:jc w:val="center"/>
              <w:rPr>
                <w:rFonts w:hint="default" w:ascii="Times New Roman" w:hAnsi="Times New Roman" w:eastAsia="宋体" w:cs="Times New Roman"/>
                <w:sz w:val="21"/>
                <w:szCs w:val="21"/>
              </w:rPr>
            </w:pPr>
            <w:r>
              <w:rPr>
                <w:rFonts w:hint="default" w:ascii="Times New Roman" w:hAnsi="Times New Roman" w:eastAsia="宋体" w:cs="Times New Roman"/>
                <w:position w:val="2"/>
                <w:sz w:val="21"/>
                <w:szCs w:val="21"/>
              </w:rPr>
              <w:t>PM</w:t>
            </w:r>
            <w:r>
              <w:rPr>
                <w:rFonts w:hint="default" w:ascii="Times New Roman" w:hAnsi="Times New Roman" w:eastAsia="宋体" w:cs="Times New Roman"/>
                <w:sz w:val="21"/>
                <w:szCs w:val="21"/>
              </w:rPr>
              <w:t>2.5</w:t>
            </w:r>
          </w:p>
          <w:p>
            <w:pPr>
              <w:pStyle w:val="23"/>
              <w:spacing w:before="70" w:line="245" w:lineRule="exact"/>
              <w:ind w:left="11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ug/m</w:t>
            </w:r>
            <w:r>
              <w:rPr>
                <w:rFonts w:hint="default" w:ascii="Times New Roman" w:hAnsi="Times New Roman" w:eastAsia="宋体" w:cs="Times New Roman"/>
                <w:position w:val="7"/>
                <w:sz w:val="21"/>
                <w:szCs w:val="21"/>
              </w:rPr>
              <w:t>3</w:t>
            </w:r>
          </w:p>
        </w:tc>
        <w:tc>
          <w:tcPr>
            <w:tcW w:w="1202" w:type="dxa"/>
            <w:tcBorders>
              <w:left w:val="single" w:color="000000" w:sz="4" w:space="0"/>
              <w:bottom w:val="single" w:color="000000" w:sz="4" w:space="0"/>
              <w:right w:val="single" w:color="000000" w:sz="4" w:space="0"/>
            </w:tcBorders>
            <w:vAlign w:val="center"/>
          </w:tcPr>
          <w:p>
            <w:pPr>
              <w:pStyle w:val="23"/>
              <w:spacing w:before="61"/>
              <w:ind w:left="116"/>
              <w:jc w:val="center"/>
              <w:rPr>
                <w:rFonts w:hint="default" w:ascii="Times New Roman" w:hAnsi="Times New Roman" w:eastAsia="宋体" w:cs="Times New Roman"/>
                <w:sz w:val="21"/>
                <w:szCs w:val="21"/>
              </w:rPr>
            </w:pPr>
            <w:r>
              <w:rPr>
                <w:rFonts w:hint="default" w:ascii="Times New Roman" w:hAnsi="Times New Roman" w:eastAsia="宋体" w:cs="Times New Roman"/>
                <w:position w:val="2"/>
                <w:sz w:val="21"/>
                <w:szCs w:val="21"/>
              </w:rPr>
              <w:t>NO</w:t>
            </w:r>
            <w:r>
              <w:rPr>
                <w:rFonts w:hint="default" w:ascii="Times New Roman" w:hAnsi="Times New Roman" w:eastAsia="宋体" w:cs="Times New Roman"/>
                <w:sz w:val="21"/>
                <w:szCs w:val="21"/>
              </w:rPr>
              <w:t>2</w:t>
            </w:r>
          </w:p>
          <w:p>
            <w:pPr>
              <w:pStyle w:val="23"/>
              <w:spacing w:before="70" w:line="245" w:lineRule="exact"/>
              <w:ind w:left="11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ug/m</w:t>
            </w:r>
            <w:r>
              <w:rPr>
                <w:rFonts w:hint="default" w:ascii="Times New Roman" w:hAnsi="Times New Roman" w:eastAsia="宋体" w:cs="Times New Roman"/>
                <w:position w:val="7"/>
                <w:sz w:val="21"/>
                <w:szCs w:val="21"/>
              </w:rPr>
              <w:t>3</w:t>
            </w:r>
          </w:p>
        </w:tc>
        <w:tc>
          <w:tcPr>
            <w:tcW w:w="1199" w:type="dxa"/>
            <w:tcBorders>
              <w:left w:val="single" w:color="000000" w:sz="4" w:space="0"/>
              <w:bottom w:val="single" w:color="000000" w:sz="4" w:space="0"/>
              <w:right w:val="single" w:color="000000" w:sz="4" w:space="0"/>
            </w:tcBorders>
            <w:vAlign w:val="center"/>
          </w:tcPr>
          <w:p>
            <w:pPr>
              <w:pStyle w:val="23"/>
              <w:spacing w:before="62"/>
              <w:ind w:left="11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TSP</w:t>
            </w:r>
          </w:p>
          <w:p>
            <w:pPr>
              <w:pStyle w:val="23"/>
              <w:spacing w:before="74" w:line="245" w:lineRule="exact"/>
              <w:ind w:left="11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ug/m</w:t>
            </w:r>
            <w:r>
              <w:rPr>
                <w:rFonts w:hint="default" w:ascii="Times New Roman" w:hAnsi="Times New Roman" w:eastAsia="宋体" w:cs="Times New Roman"/>
                <w:position w:val="7"/>
                <w:sz w:val="21"/>
                <w:szCs w:val="21"/>
              </w:rPr>
              <w:t>3</w:t>
            </w:r>
          </w:p>
        </w:tc>
        <w:tc>
          <w:tcPr>
            <w:tcW w:w="1052" w:type="dxa"/>
            <w:tcBorders>
              <w:left w:val="single" w:color="000000" w:sz="4" w:space="0"/>
              <w:bottom w:val="single" w:color="000000" w:sz="4" w:space="0"/>
              <w:right w:val="single" w:color="000000" w:sz="4" w:space="0"/>
            </w:tcBorders>
            <w:vAlign w:val="center"/>
          </w:tcPr>
          <w:p>
            <w:pPr>
              <w:pStyle w:val="23"/>
              <w:spacing w:before="61"/>
              <w:ind w:left="116"/>
              <w:jc w:val="center"/>
              <w:rPr>
                <w:rFonts w:hint="default" w:ascii="Times New Roman" w:hAnsi="Times New Roman" w:eastAsia="宋体" w:cs="Times New Roman"/>
                <w:sz w:val="21"/>
                <w:szCs w:val="21"/>
              </w:rPr>
            </w:pPr>
            <w:r>
              <w:rPr>
                <w:rFonts w:hint="default" w:ascii="Times New Roman" w:hAnsi="Times New Roman" w:eastAsia="宋体" w:cs="Times New Roman"/>
                <w:position w:val="2"/>
                <w:sz w:val="21"/>
                <w:szCs w:val="21"/>
              </w:rPr>
              <w:t>O</w:t>
            </w:r>
            <w:r>
              <w:rPr>
                <w:rFonts w:hint="default" w:ascii="Times New Roman" w:hAnsi="Times New Roman" w:eastAsia="宋体" w:cs="Times New Roman"/>
                <w:sz w:val="21"/>
                <w:szCs w:val="21"/>
              </w:rPr>
              <w:t>3</w:t>
            </w:r>
          </w:p>
          <w:p>
            <w:pPr>
              <w:pStyle w:val="23"/>
              <w:spacing w:before="70" w:line="245" w:lineRule="exact"/>
              <w:ind w:left="11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ug/m</w:t>
            </w:r>
            <w:r>
              <w:rPr>
                <w:rFonts w:hint="default" w:ascii="Times New Roman" w:hAnsi="Times New Roman" w:eastAsia="宋体" w:cs="Times New Roman"/>
                <w:position w:val="7"/>
                <w:sz w:val="21"/>
                <w:szCs w:val="21"/>
              </w:rPr>
              <w:t>3</w:t>
            </w:r>
          </w:p>
        </w:tc>
        <w:tc>
          <w:tcPr>
            <w:tcW w:w="1099" w:type="dxa"/>
            <w:tcBorders>
              <w:left w:val="single" w:color="000000" w:sz="4" w:space="0"/>
              <w:bottom w:val="single" w:color="000000" w:sz="4" w:space="0"/>
            </w:tcBorders>
            <w:vAlign w:val="center"/>
          </w:tcPr>
          <w:p>
            <w:pPr>
              <w:pStyle w:val="23"/>
              <w:spacing w:before="62"/>
              <w:ind w:lef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p>
            <w:pPr>
              <w:pStyle w:val="23"/>
              <w:spacing w:before="74" w:line="245" w:lineRule="exact"/>
              <w:ind w:lef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position w:val="7"/>
                <w:sz w:val="21"/>
                <w:szCs w:val="21"/>
              </w:rPr>
              <w:t>3</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452" w:type="dxa"/>
            <w:vMerge w:val="restart"/>
            <w:tcBorders>
              <w:top w:val="single" w:color="000000" w:sz="4" w:space="0"/>
              <w:right w:val="single" w:color="000000" w:sz="4" w:space="0"/>
            </w:tcBorders>
            <w:vAlign w:val="center"/>
          </w:tcPr>
          <w:p>
            <w:pPr>
              <w:pStyle w:val="23"/>
              <w:spacing w:before="10"/>
              <w:jc w:val="center"/>
              <w:rPr>
                <w:rFonts w:hint="default" w:ascii="Times New Roman" w:hAnsi="Times New Roman" w:eastAsia="宋体" w:cs="Times New Roman"/>
                <w:b/>
                <w:sz w:val="21"/>
                <w:szCs w:val="21"/>
              </w:rPr>
            </w:pPr>
          </w:p>
          <w:p>
            <w:pPr>
              <w:pStyle w:val="23"/>
              <w:spacing w:line="285" w:lineRule="auto"/>
              <w:ind w:left="136" w:right="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二级标准</w:t>
            </w:r>
          </w:p>
        </w:tc>
        <w:tc>
          <w:tcPr>
            <w:tcW w:w="1034" w:type="dxa"/>
            <w:tcBorders>
              <w:top w:val="single" w:color="000000" w:sz="4" w:space="0"/>
              <w:left w:val="single" w:color="000000" w:sz="4" w:space="0"/>
              <w:bottom w:val="single" w:color="000000" w:sz="4" w:space="0"/>
              <w:right w:val="single" w:color="000000" w:sz="4" w:space="0"/>
            </w:tcBorders>
            <w:vAlign w:val="center"/>
          </w:tcPr>
          <w:p>
            <w:pPr>
              <w:pStyle w:val="23"/>
              <w:spacing w:before="61" w:line="257" w:lineRule="exact"/>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年均</w:t>
            </w:r>
          </w:p>
        </w:tc>
        <w:tc>
          <w:tcPr>
            <w:tcW w:w="1044" w:type="dxa"/>
            <w:tcBorders>
              <w:top w:val="single" w:color="000000" w:sz="4" w:space="0"/>
              <w:left w:val="single" w:color="000000" w:sz="4" w:space="0"/>
              <w:bottom w:val="single" w:color="000000" w:sz="4" w:space="0"/>
              <w:right w:val="single" w:color="000000" w:sz="4" w:space="0"/>
            </w:tcBorders>
            <w:vAlign w:val="center"/>
          </w:tcPr>
          <w:p>
            <w:pPr>
              <w:pStyle w:val="23"/>
              <w:spacing w:before="75"/>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23"/>
              <w:spacing w:before="75"/>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901" w:type="dxa"/>
            <w:tcBorders>
              <w:top w:val="single" w:color="000000" w:sz="4" w:space="0"/>
              <w:left w:val="single" w:color="000000" w:sz="4" w:space="0"/>
              <w:bottom w:val="single" w:color="000000" w:sz="4" w:space="0"/>
              <w:right w:val="single" w:color="000000" w:sz="4" w:space="0"/>
            </w:tcBorders>
            <w:vAlign w:val="center"/>
          </w:tcPr>
          <w:p>
            <w:pPr>
              <w:pStyle w:val="23"/>
              <w:spacing w:before="75"/>
              <w:ind w:left="11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202" w:type="dxa"/>
            <w:tcBorders>
              <w:top w:val="single" w:color="000000" w:sz="4" w:space="0"/>
              <w:left w:val="single" w:color="000000" w:sz="4" w:space="0"/>
              <w:bottom w:val="single" w:color="000000" w:sz="4" w:space="0"/>
              <w:right w:val="single" w:color="000000" w:sz="4" w:space="0"/>
            </w:tcBorders>
            <w:vAlign w:val="center"/>
          </w:tcPr>
          <w:p>
            <w:pPr>
              <w:pStyle w:val="23"/>
              <w:spacing w:before="75"/>
              <w:ind w:left="11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3"/>
              <w:spacing w:before="75"/>
              <w:ind w:left="11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1052" w:type="dxa"/>
            <w:tcBorders>
              <w:top w:val="single" w:color="000000" w:sz="4" w:space="0"/>
              <w:left w:val="single" w:color="000000" w:sz="4" w:space="0"/>
              <w:bottom w:val="single" w:color="000000" w:sz="4" w:space="0"/>
              <w:right w:val="single" w:color="000000" w:sz="4" w:space="0"/>
            </w:tcBorders>
            <w:vAlign w:val="center"/>
          </w:tcPr>
          <w:p>
            <w:pPr>
              <w:pStyle w:val="23"/>
              <w:spacing w:before="75"/>
              <w:ind w:left="116"/>
              <w:jc w:val="center"/>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w:t>
            </w:r>
          </w:p>
        </w:tc>
        <w:tc>
          <w:tcPr>
            <w:tcW w:w="1099" w:type="dxa"/>
            <w:tcBorders>
              <w:top w:val="single" w:color="000000" w:sz="4" w:space="0"/>
              <w:left w:val="single" w:color="000000" w:sz="4" w:space="0"/>
              <w:bottom w:val="single" w:color="000000" w:sz="4" w:space="0"/>
            </w:tcBorders>
            <w:vAlign w:val="center"/>
          </w:tcPr>
          <w:p>
            <w:pPr>
              <w:pStyle w:val="23"/>
              <w:spacing w:before="75"/>
              <w:ind w:left="114"/>
              <w:jc w:val="center"/>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20" w:hRule="atLeast"/>
          <w:jc w:val="center"/>
        </w:trPr>
        <w:tc>
          <w:tcPr>
            <w:tcW w:w="452" w:type="dxa"/>
            <w:vMerge w:val="continue"/>
            <w:tcBorders>
              <w:top w:val="nil"/>
              <w:right w:val="single" w:color="000000" w:sz="4" w:space="0"/>
            </w:tcBorders>
            <w:vAlign w:val="center"/>
          </w:tcPr>
          <w:p>
            <w:pPr>
              <w:jc w:val="center"/>
              <w:rPr>
                <w:rFonts w:hint="default" w:ascii="Times New Roman" w:hAnsi="Times New Roman" w:eastAsia="宋体" w:cs="Times New Roman"/>
                <w:sz w:val="21"/>
                <w:szCs w:val="21"/>
              </w:rPr>
            </w:pPr>
          </w:p>
        </w:tc>
        <w:tc>
          <w:tcPr>
            <w:tcW w:w="1034" w:type="dxa"/>
            <w:tcBorders>
              <w:top w:val="single" w:color="000000" w:sz="4" w:space="0"/>
              <w:left w:val="single" w:color="000000" w:sz="4" w:space="0"/>
              <w:bottom w:val="single" w:color="000000" w:sz="4" w:space="0"/>
              <w:right w:val="single" w:color="000000" w:sz="4" w:space="0"/>
            </w:tcBorders>
            <w:vAlign w:val="center"/>
          </w:tcPr>
          <w:p>
            <w:pPr>
              <w:pStyle w:val="23"/>
              <w:spacing w:before="36"/>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 小时</w:t>
            </w:r>
          </w:p>
          <w:p>
            <w:pPr>
              <w:pStyle w:val="23"/>
              <w:spacing w:before="50" w:line="245" w:lineRule="exact"/>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w:t>
            </w:r>
          </w:p>
        </w:tc>
        <w:tc>
          <w:tcPr>
            <w:tcW w:w="1044"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c>
          <w:tcPr>
            <w:tcW w:w="105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c>
          <w:tcPr>
            <w:tcW w:w="901"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75</w:t>
            </w:r>
          </w:p>
        </w:tc>
        <w:tc>
          <w:tcPr>
            <w:tcW w:w="120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199"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1052" w:type="dxa"/>
            <w:tcBorders>
              <w:top w:val="single" w:color="000000" w:sz="4" w:space="0"/>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099" w:type="dxa"/>
            <w:tcBorders>
              <w:top w:val="single" w:color="000000" w:sz="4" w:space="0"/>
              <w:left w:val="single" w:color="000000" w:sz="4" w:space="0"/>
              <w:bottom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29" w:hRule="atLeast"/>
          <w:jc w:val="center"/>
        </w:trPr>
        <w:tc>
          <w:tcPr>
            <w:tcW w:w="452" w:type="dxa"/>
            <w:vMerge w:val="continue"/>
            <w:tcBorders>
              <w:top w:val="nil"/>
              <w:right w:val="single" w:color="000000" w:sz="4" w:space="0"/>
            </w:tcBorders>
            <w:vAlign w:val="center"/>
          </w:tcPr>
          <w:p>
            <w:pPr>
              <w:jc w:val="center"/>
              <w:rPr>
                <w:rFonts w:hint="default" w:ascii="Times New Roman" w:hAnsi="Times New Roman" w:eastAsia="宋体" w:cs="Times New Roman"/>
                <w:sz w:val="21"/>
                <w:szCs w:val="21"/>
              </w:rPr>
            </w:pPr>
          </w:p>
        </w:tc>
        <w:tc>
          <w:tcPr>
            <w:tcW w:w="1034" w:type="dxa"/>
            <w:tcBorders>
              <w:top w:val="single" w:color="000000" w:sz="4" w:space="0"/>
              <w:left w:val="single" w:color="000000" w:sz="4" w:space="0"/>
              <w:right w:val="single" w:color="000000" w:sz="4" w:space="0"/>
            </w:tcBorders>
            <w:vAlign w:val="center"/>
          </w:tcPr>
          <w:p>
            <w:pPr>
              <w:pStyle w:val="23"/>
              <w:spacing w:before="36"/>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 小时</w:t>
            </w:r>
          </w:p>
          <w:p>
            <w:pPr>
              <w:pStyle w:val="23"/>
              <w:spacing w:before="50" w:line="254" w:lineRule="exact"/>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w:t>
            </w:r>
          </w:p>
        </w:tc>
        <w:tc>
          <w:tcPr>
            <w:tcW w:w="1044"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1052"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901"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202"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1199"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052"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1099" w:type="dxa"/>
            <w:tcBorders>
              <w:top w:val="single" w:color="000000" w:sz="4" w:space="0"/>
              <w:left w:val="single" w:color="000000" w:sz="4" w:space="0"/>
            </w:tcBorders>
            <w:vAlign w:val="center"/>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bl>
    <w:p>
      <w:pPr>
        <w:pStyle w:val="2"/>
        <w:spacing w:before="8"/>
        <w:rPr>
          <w:rFonts w:hint="default" w:ascii="Times New Roman" w:hAnsi="Times New Roman" w:cs="Times New Roman"/>
          <w:b/>
          <w:sz w:val="9"/>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zh-CN"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right="0" w:right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2、废气排放标准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right="0" w:rightChars="0"/>
        <w:textAlignment w:val="auto"/>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施工期 TSP 和沥青烟执行 GB16297-96《大气污染物综合排放标准》中的无组织排放监控浓度限值；项目位于城市规划区路段应执行《四川省施工场地扬尘排放标准》（DB51/2682-2020），其余区域参照执行。标准值见表 1.6-4。</w:t>
      </w:r>
    </w:p>
    <w:p>
      <w:pPr>
        <w:tabs>
          <w:tab w:val="left" w:pos="912"/>
        </w:tabs>
        <w:spacing w:before="0" w:after="28" w:line="269" w:lineRule="exact"/>
        <w:ind w:left="0" w:right="37" w:firstLine="0"/>
        <w:jc w:val="center"/>
        <w:rPr>
          <w:rFonts w:hint="default" w:ascii="Times New Roman" w:hAnsi="Times New Roman" w:eastAsia="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1.6-4</w:t>
      </w:r>
      <w:r>
        <w:rPr>
          <w:rFonts w:hint="default" w:ascii="Times New Roman" w:hAnsi="Times New Roman" w:eastAsia="Times New Roman" w:cs="Times New Roman"/>
          <w:b/>
          <w:sz w:val="21"/>
        </w:rPr>
        <w:tab/>
      </w:r>
      <w:r>
        <w:rPr>
          <w:rFonts w:hint="default" w:ascii="Times New Roman" w:hAnsi="Times New Roman" w:cs="Times New Roman"/>
          <w:b/>
          <w:sz w:val="21"/>
        </w:rPr>
        <w:t>《大气污染物</w:t>
      </w:r>
      <w:r>
        <w:rPr>
          <w:rFonts w:hint="default" w:ascii="Times New Roman" w:hAnsi="Times New Roman" w:cs="Times New Roman"/>
          <w:b/>
          <w:spacing w:val="-3"/>
          <w:sz w:val="21"/>
        </w:rPr>
        <w:t>综</w:t>
      </w:r>
      <w:r>
        <w:rPr>
          <w:rFonts w:hint="default" w:ascii="Times New Roman" w:hAnsi="Times New Roman" w:cs="Times New Roman"/>
          <w:b/>
          <w:sz w:val="21"/>
        </w:rPr>
        <w:t>合排放标准》</w:t>
      </w:r>
      <w:r>
        <w:rPr>
          <w:rFonts w:hint="default" w:ascii="Times New Roman" w:hAnsi="Times New Roman" w:eastAsia="Times New Roman" w:cs="Times New Roman"/>
          <w:b/>
          <w:sz w:val="21"/>
        </w:rPr>
        <w:t>(GB16297-1996)</w:t>
      </w:r>
    </w:p>
    <w:tbl>
      <w:tblPr>
        <w:tblStyle w:val="17"/>
        <w:tblW w:w="4754"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2005"/>
        <w:gridCol w:w="1804"/>
        <w:gridCol w:w="2373"/>
        <w:gridCol w:w="2872"/>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0" w:hRule="atLeast"/>
          <w:jc w:val="center"/>
        </w:trPr>
        <w:tc>
          <w:tcPr>
            <w:tcW w:w="2003" w:type="dxa"/>
            <w:vMerge w:val="restart"/>
            <w:tcBorders>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1801" w:type="dxa"/>
            <w:vMerge w:val="restart"/>
            <w:tcBorders>
              <w:left w:val="single" w:color="000000" w:sz="4" w:space="0"/>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最高浓度限值</w:t>
            </w:r>
          </w:p>
        </w:tc>
        <w:tc>
          <w:tcPr>
            <w:tcW w:w="5240" w:type="dxa"/>
            <w:gridSpan w:val="2"/>
            <w:tcBorders>
              <w:left w:val="single" w:color="000000" w:sz="4" w:space="0"/>
              <w:bottom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1" w:hRule="atLeast"/>
          <w:jc w:val="center"/>
        </w:trPr>
        <w:tc>
          <w:tcPr>
            <w:tcW w:w="2003" w:type="dxa"/>
            <w:vMerge w:val="continue"/>
            <w:tcBorders>
              <w:top w:val="nil"/>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p>
        </w:tc>
        <w:tc>
          <w:tcPr>
            <w:tcW w:w="1801" w:type="dxa"/>
            <w:vMerge w:val="continue"/>
            <w:tcBorders>
              <w:top w:val="nil"/>
              <w:left w:val="single" w:color="000000" w:sz="4" w:space="0"/>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p>
        </w:tc>
        <w:tc>
          <w:tcPr>
            <w:tcW w:w="2372" w:type="dxa"/>
            <w:tcBorders>
              <w:top w:val="single" w:color="000000" w:sz="4" w:space="0"/>
              <w:left w:val="single" w:color="000000" w:sz="4" w:space="0"/>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监控点</w:t>
            </w:r>
          </w:p>
        </w:tc>
        <w:tc>
          <w:tcPr>
            <w:tcW w:w="2868" w:type="dxa"/>
            <w:tcBorders>
              <w:top w:val="single" w:color="000000" w:sz="4" w:space="0"/>
              <w:left w:val="single" w:color="000000" w:sz="4" w:space="0"/>
              <w:bottom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浓度</w:t>
            </w:r>
            <w:r>
              <w:rPr>
                <w:rFonts w:hint="eastAsia" w:ascii="Times New Roman" w:hAnsi="Times New Roman" w:cs="Times New Roman"/>
                <w:sz w:val="21"/>
                <w:szCs w:val="21"/>
                <w:lang w:eastAsia="zh-CN"/>
              </w:rPr>
              <w:t>（</w:t>
            </w:r>
            <w:r>
              <w:rPr>
                <w:rFonts w:hint="default" w:ascii="Times New Roman" w:hAnsi="Times New Roman" w:cs="Times New Roman"/>
                <w:sz w:val="21"/>
                <w:szCs w:val="21"/>
              </w:rPr>
              <w:t>mg/m3</w:t>
            </w:r>
            <w:r>
              <w:rPr>
                <w:rFonts w:hint="eastAsia"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8" w:hRule="atLeast"/>
          <w:jc w:val="center"/>
        </w:trPr>
        <w:tc>
          <w:tcPr>
            <w:tcW w:w="2003" w:type="dxa"/>
            <w:tcBorders>
              <w:top w:val="single" w:color="000000" w:sz="4" w:space="0"/>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1801" w:type="dxa"/>
            <w:tcBorders>
              <w:top w:val="single" w:color="000000" w:sz="4" w:space="0"/>
              <w:left w:val="single" w:color="000000" w:sz="4" w:space="0"/>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120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其他</w:t>
            </w:r>
            <w:r>
              <w:rPr>
                <w:rFonts w:hint="eastAsia" w:ascii="Times New Roman" w:hAnsi="Times New Roman" w:cs="Times New Roman"/>
                <w:sz w:val="21"/>
                <w:szCs w:val="21"/>
                <w:lang w:eastAsia="zh-CN"/>
              </w:rPr>
              <w:t>）</w:t>
            </w:r>
          </w:p>
        </w:tc>
        <w:tc>
          <w:tcPr>
            <w:tcW w:w="2372" w:type="dxa"/>
            <w:tcBorders>
              <w:top w:val="single" w:color="000000" w:sz="4" w:space="0"/>
              <w:left w:val="single" w:color="000000" w:sz="4" w:space="0"/>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周界外浓度最高点</w:t>
            </w:r>
          </w:p>
        </w:tc>
        <w:tc>
          <w:tcPr>
            <w:tcW w:w="2868" w:type="dxa"/>
            <w:tcBorders>
              <w:top w:val="single" w:color="000000" w:sz="4" w:space="0"/>
              <w:left w:val="single" w:color="000000" w:sz="4" w:space="0"/>
              <w:bottom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1" w:hRule="atLeast"/>
          <w:jc w:val="center"/>
        </w:trPr>
        <w:tc>
          <w:tcPr>
            <w:tcW w:w="2003" w:type="dxa"/>
            <w:vMerge w:val="restart"/>
            <w:tcBorders>
              <w:top w:val="single" w:color="000000" w:sz="4" w:space="0"/>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沥青烟</w:t>
            </w:r>
          </w:p>
        </w:tc>
        <w:tc>
          <w:tcPr>
            <w:tcW w:w="1801" w:type="dxa"/>
            <w:tcBorders>
              <w:top w:val="single" w:color="000000" w:sz="4" w:space="0"/>
              <w:left w:val="single" w:color="000000" w:sz="4" w:space="0"/>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40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沥青熔炼</w:t>
            </w:r>
            <w:r>
              <w:rPr>
                <w:rFonts w:hint="eastAsia" w:ascii="Times New Roman" w:hAnsi="Times New Roman" w:cs="Times New Roman"/>
                <w:sz w:val="21"/>
                <w:szCs w:val="21"/>
                <w:lang w:eastAsia="zh-CN"/>
              </w:rPr>
              <w:t>）</w:t>
            </w:r>
          </w:p>
        </w:tc>
        <w:tc>
          <w:tcPr>
            <w:tcW w:w="5240" w:type="dxa"/>
            <w:gridSpan w:val="2"/>
            <w:vMerge w:val="restart"/>
            <w:tcBorders>
              <w:top w:val="single" w:color="000000" w:sz="4" w:space="0"/>
              <w:left w:val="single" w:color="000000" w:sz="4" w:space="0"/>
              <w:bottom w:val="single" w:color="000000" w:sz="4" w:space="0"/>
            </w:tcBorders>
            <w:vAlign w:val="top"/>
          </w:tcPr>
          <w:p>
            <w:pPr>
              <w:bidi w:val="0"/>
              <w:jc w:val="center"/>
              <w:rPr>
                <w:rFonts w:hint="default" w:ascii="Times New Roman" w:hAnsi="Times New Roman" w:cs="Times New Roman"/>
                <w:sz w:val="21"/>
                <w:szCs w:val="21"/>
              </w:rPr>
            </w:pP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生产设备不得有明显的无组织排放</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8" w:hRule="atLeast"/>
          <w:jc w:val="center"/>
        </w:trPr>
        <w:tc>
          <w:tcPr>
            <w:tcW w:w="2003" w:type="dxa"/>
            <w:vMerge w:val="continue"/>
            <w:tcBorders>
              <w:top w:val="nil"/>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p>
        </w:tc>
        <w:tc>
          <w:tcPr>
            <w:tcW w:w="1801" w:type="dxa"/>
            <w:tcBorders>
              <w:top w:val="single" w:color="000000" w:sz="4" w:space="0"/>
              <w:left w:val="single" w:color="000000" w:sz="4" w:space="0"/>
              <w:bottom w:val="single" w:color="000000" w:sz="4" w:space="0"/>
              <w:righ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75</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沥青搅拌</w:t>
            </w:r>
            <w:r>
              <w:rPr>
                <w:rFonts w:hint="eastAsia" w:ascii="Times New Roman" w:hAnsi="Times New Roman" w:cs="Times New Roman"/>
                <w:sz w:val="21"/>
                <w:szCs w:val="21"/>
                <w:lang w:eastAsia="zh-CN"/>
              </w:rPr>
              <w:t>）</w:t>
            </w:r>
          </w:p>
        </w:tc>
        <w:tc>
          <w:tcPr>
            <w:tcW w:w="5240" w:type="dxa"/>
            <w:gridSpan w:val="2"/>
            <w:vMerge w:val="continue"/>
            <w:tcBorders>
              <w:top w:val="nil"/>
              <w:left w:val="single" w:color="000000" w:sz="4" w:space="0"/>
              <w:bottom w:val="single" w:color="000000" w:sz="4" w:space="0"/>
            </w:tcBorders>
            <w:vAlign w:val="top"/>
          </w:tcPr>
          <w:p>
            <w:pPr>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0" w:hRule="atLeast"/>
          <w:jc w:val="center"/>
        </w:trPr>
        <w:tc>
          <w:tcPr>
            <w:tcW w:w="2003" w:type="dxa"/>
            <w:tcBorders>
              <w:top w:val="single" w:color="000000" w:sz="4" w:space="0"/>
              <w:righ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苯并</w:t>
            </w:r>
            <w:r>
              <w:rPr>
                <w:rFonts w:hint="eastAsia" w:ascii="Times New Roman" w:hAnsi="Times New Roman" w:cs="Times New Roman"/>
                <w:sz w:val="21"/>
                <w:szCs w:val="21"/>
                <w:lang w:eastAsia="zh-CN"/>
              </w:rPr>
              <w:t>〔</w:t>
            </w:r>
            <w:r>
              <w:rPr>
                <w:rFonts w:hint="default" w:ascii="Times New Roman" w:hAnsi="Times New Roman" w:cs="Times New Roman"/>
                <w:sz w:val="21"/>
                <w:szCs w:val="21"/>
              </w:rPr>
              <w:t>a</w:t>
            </w:r>
            <w:r>
              <w:rPr>
                <w:rFonts w:hint="eastAsia" w:ascii="Times New Roman" w:hAnsi="Times New Roman" w:cs="Times New Roman"/>
                <w:sz w:val="21"/>
                <w:szCs w:val="21"/>
                <w:lang w:eastAsia="zh-CN"/>
              </w:rPr>
              <w:t>〕</w:t>
            </w:r>
            <w:r>
              <w:rPr>
                <w:rFonts w:hint="default" w:ascii="Times New Roman" w:hAnsi="Times New Roman" w:cs="Times New Roman"/>
                <w:sz w:val="21"/>
                <w:szCs w:val="21"/>
              </w:rPr>
              <w:t>芘</w:t>
            </w:r>
          </w:p>
        </w:tc>
        <w:tc>
          <w:tcPr>
            <w:tcW w:w="1801" w:type="dxa"/>
            <w:tcBorders>
              <w:top w:val="single" w:color="000000" w:sz="4" w:space="0"/>
              <w:left w:val="single" w:color="000000" w:sz="4" w:space="0"/>
              <w:righ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0.3×10 -3</w:t>
            </w:r>
          </w:p>
        </w:tc>
        <w:tc>
          <w:tcPr>
            <w:tcW w:w="2372" w:type="dxa"/>
            <w:tcBorders>
              <w:top w:val="single" w:color="000000" w:sz="4" w:space="0"/>
              <w:left w:val="single" w:color="000000" w:sz="4" w:space="0"/>
              <w:righ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周界外浓度最高点</w:t>
            </w:r>
          </w:p>
        </w:tc>
        <w:tc>
          <w:tcPr>
            <w:tcW w:w="2868" w:type="dxa"/>
            <w:tcBorders>
              <w:top w:val="single" w:color="000000" w:sz="4" w:space="0"/>
              <w:left w:val="single" w:color="000000" w:sz="4" w:space="0"/>
            </w:tcBorders>
            <w:vAlign w:val="top"/>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0.008ug/m3</w:t>
            </w:r>
          </w:p>
        </w:tc>
      </w:tr>
    </w:tbl>
    <w:p>
      <w:pPr>
        <w:spacing w:before="143" w:after="30"/>
        <w:ind w:left="0" w:right="38" w:firstLine="0"/>
        <w:jc w:val="center"/>
        <w:rPr>
          <w:rFonts w:hint="default" w:ascii="Times New Roman" w:hAnsi="Times New Roman" w:cs="Times New Roman"/>
          <w:b/>
          <w:sz w:val="21"/>
        </w:rPr>
      </w:pPr>
    </w:p>
    <w:p>
      <w:pPr>
        <w:spacing w:before="143" w:after="30"/>
        <w:ind w:left="0" w:right="38" w:firstLine="0"/>
        <w:jc w:val="center"/>
        <w:rPr>
          <w:rFonts w:hint="default" w:ascii="Times New Roman" w:hAnsi="Times New Roman" w:cs="Times New Roman"/>
          <w:b/>
          <w:sz w:val="21"/>
        </w:rPr>
      </w:pPr>
      <w:r>
        <w:rPr>
          <w:rFonts w:hint="default" w:ascii="Times New Roman" w:hAnsi="Times New Roman" w:cs="Times New Roman"/>
          <w:b/>
          <w:sz w:val="21"/>
          <w:lang w:val="en-US" w:eastAsia="zh-CN"/>
        </w:rPr>
        <w:t xml:space="preserve">表1.6-5 </w:t>
      </w:r>
      <w:r>
        <w:rPr>
          <w:rFonts w:hint="default" w:ascii="Times New Roman" w:hAnsi="Times New Roman" w:cs="Times New Roman"/>
          <w:b/>
          <w:sz w:val="21"/>
        </w:rPr>
        <w:t>《四川省施工场地扬尘排放标准》（</w:t>
      </w:r>
      <w:r>
        <w:rPr>
          <w:rFonts w:hint="default" w:ascii="Times New Roman" w:hAnsi="Times New Roman" w:eastAsia="Times New Roman" w:cs="Times New Roman"/>
          <w:b/>
          <w:sz w:val="21"/>
        </w:rPr>
        <w:t>DB51/2682-2020</w:t>
      </w:r>
      <w:r>
        <w:rPr>
          <w:rFonts w:hint="default" w:ascii="Times New Roman" w:hAnsi="Times New Roman" w:cs="Times New Roman"/>
          <w:b/>
          <w:sz w:val="21"/>
        </w:rPr>
        <w:t>）</w:t>
      </w:r>
    </w:p>
    <w:tbl>
      <w:tblPr>
        <w:tblStyle w:val="17"/>
        <w:tblW w:w="4754"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073"/>
        <w:gridCol w:w="3285"/>
        <w:gridCol w:w="1862"/>
        <w:gridCol w:w="1629"/>
        <w:gridCol w:w="1205"/>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40" w:hRule="atLeast"/>
          <w:jc w:val="center"/>
        </w:trPr>
        <w:tc>
          <w:tcPr>
            <w:tcW w:w="1072" w:type="dxa"/>
            <w:tcBorders>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3280"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区域</w:t>
            </w:r>
          </w:p>
        </w:tc>
        <w:tc>
          <w:tcPr>
            <w:tcW w:w="1859"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施工阶段</w:t>
            </w:r>
          </w:p>
        </w:tc>
        <w:tc>
          <w:tcPr>
            <w:tcW w:w="1628"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监测点排放限值 （μg/m3）</w:t>
            </w:r>
          </w:p>
        </w:tc>
        <w:tc>
          <w:tcPr>
            <w:tcW w:w="1205" w:type="dxa"/>
            <w:tcBorders>
              <w:left w:val="single" w:color="000000" w:sz="4" w:space="0"/>
              <w:bottom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监测时间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4" w:hRule="atLeast"/>
          <w:jc w:val="center"/>
        </w:trPr>
        <w:tc>
          <w:tcPr>
            <w:tcW w:w="1072" w:type="dxa"/>
            <w:tcBorders>
              <w:top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总悬浮</w:t>
            </w:r>
          </w:p>
        </w:tc>
        <w:tc>
          <w:tcPr>
            <w:tcW w:w="3280" w:type="dxa"/>
            <w:tcBorders>
              <w:top w:val="single" w:color="000000" w:sz="4" w:space="0"/>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成都市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自贡市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泸州市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德阳</w:t>
            </w:r>
          </w:p>
        </w:tc>
        <w:tc>
          <w:tcPr>
            <w:tcW w:w="1859" w:type="dxa"/>
            <w:tcBorders>
              <w:top w:val="single" w:color="000000" w:sz="4" w:space="0"/>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拆除工程/土方开</w:t>
            </w:r>
          </w:p>
        </w:tc>
        <w:tc>
          <w:tcPr>
            <w:tcW w:w="1628" w:type="dxa"/>
            <w:tcBorders>
              <w:top w:val="single" w:color="000000" w:sz="4" w:space="0"/>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600</w:t>
            </w:r>
          </w:p>
        </w:tc>
        <w:tc>
          <w:tcPr>
            <w:tcW w:w="1205" w:type="dxa"/>
            <w:tcBorders>
              <w:top w:val="single" w:color="000000" w:sz="4" w:space="0"/>
              <w:left w:val="single" w:color="000000" w:sz="4" w:space="0"/>
              <w:bottom w:val="nil"/>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自监测起</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95" w:hRule="atLeast"/>
          <w:jc w:val="center"/>
        </w:trPr>
        <w:tc>
          <w:tcPr>
            <w:tcW w:w="1072" w:type="dxa"/>
            <w:tcBorders>
              <w:top w:val="nil"/>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3280" w:type="dxa"/>
            <w:tcBorders>
              <w:top w:val="nil"/>
              <w:left w:val="single" w:color="000000" w:sz="4" w:space="0"/>
              <w:bottom w:val="nil"/>
              <w:right w:val="single" w:color="000000" w:sz="4" w:space="0"/>
            </w:tcBorders>
            <w:vAlign w:val="center"/>
          </w:tcPr>
          <w:p>
            <w:pPr>
              <w:bidi w:val="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绵阳市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广元市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遂宁市</w:t>
            </w:r>
            <w:r>
              <w:rPr>
                <w:rFonts w:hint="eastAsia" w:ascii="Times New Roman" w:hAnsi="Times New Roman" w:cs="Times New Roman"/>
                <w:sz w:val="21"/>
                <w:szCs w:val="21"/>
                <w:lang w:eastAsia="zh-CN"/>
              </w:rPr>
              <w:t>、</w:t>
            </w:r>
          </w:p>
        </w:tc>
        <w:tc>
          <w:tcPr>
            <w:tcW w:w="1859" w:type="dxa"/>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挖/土方回填阶段</w:t>
            </w:r>
          </w:p>
        </w:tc>
        <w:tc>
          <w:tcPr>
            <w:tcW w:w="1628" w:type="dxa"/>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tc>
        <w:tc>
          <w:tcPr>
            <w:tcW w:w="1205" w:type="dxa"/>
            <w:tcBorders>
              <w:top w:val="nil"/>
              <w:left w:val="single" w:color="000000" w:sz="4" w:space="0"/>
              <w:bottom w:val="nil"/>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持续 15</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3" w:hRule="atLeast"/>
          <w:jc w:val="center"/>
        </w:trPr>
        <w:tc>
          <w:tcPr>
            <w:tcW w:w="1072" w:type="dxa"/>
            <w:tcBorders>
              <w:top w:val="nil"/>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（TSP）</w:t>
            </w:r>
          </w:p>
        </w:tc>
        <w:tc>
          <w:tcPr>
            <w:tcW w:w="3280" w:type="dxa"/>
            <w:tcBorders>
              <w:top w:val="nil"/>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内江市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乐山市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南充市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宜宾</w:t>
            </w:r>
          </w:p>
        </w:tc>
        <w:tc>
          <w:tcPr>
            <w:tcW w:w="1859" w:type="dxa"/>
            <w:tcBorders>
              <w:top w:val="single" w:color="000000" w:sz="4" w:space="0"/>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其他工程阶段</w:t>
            </w:r>
          </w:p>
        </w:tc>
        <w:tc>
          <w:tcPr>
            <w:tcW w:w="1628" w:type="dxa"/>
            <w:tcBorders>
              <w:top w:val="single" w:color="000000" w:sz="4" w:space="0"/>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250</w:t>
            </w:r>
          </w:p>
        </w:tc>
        <w:tc>
          <w:tcPr>
            <w:tcW w:w="1205" w:type="dxa"/>
            <w:tcBorders>
              <w:top w:val="nil"/>
              <w:left w:val="single" w:color="000000" w:sz="4" w:space="0"/>
              <w:bottom w:val="nil"/>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分钟</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06" w:hRule="atLeast"/>
          <w:jc w:val="center"/>
        </w:trPr>
        <w:tc>
          <w:tcPr>
            <w:tcW w:w="1072" w:type="dxa"/>
            <w:tcBorders>
              <w:top w:val="nil"/>
              <w:bottom w:val="nil"/>
              <w:right w:val="single" w:color="000000" w:sz="4" w:space="0"/>
            </w:tcBorders>
            <w:vAlign w:val="center"/>
          </w:tcPr>
          <w:p>
            <w:pPr>
              <w:bidi w:val="0"/>
              <w:jc w:val="center"/>
              <w:rPr>
                <w:rFonts w:hint="default" w:ascii="Times New Roman" w:hAnsi="Times New Roman" w:cs="Times New Roman"/>
                <w:sz w:val="21"/>
                <w:szCs w:val="21"/>
              </w:rPr>
            </w:pPr>
          </w:p>
        </w:tc>
        <w:tc>
          <w:tcPr>
            <w:tcW w:w="3280" w:type="dxa"/>
            <w:tcBorders>
              <w:top w:val="nil"/>
              <w:left w:val="single" w:color="000000" w:sz="4" w:space="0"/>
              <w:bottom w:val="nil"/>
              <w:right w:val="single" w:color="000000" w:sz="4" w:space="0"/>
            </w:tcBorders>
            <w:vAlign w:val="center"/>
          </w:tcPr>
          <w:p>
            <w:pPr>
              <w:bidi w:val="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广安市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达州市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巴中市</w:t>
            </w:r>
            <w:r>
              <w:rPr>
                <w:rFonts w:hint="eastAsia" w:ascii="Times New Roman" w:hAnsi="Times New Roman" w:cs="Times New Roman"/>
                <w:sz w:val="21"/>
                <w:szCs w:val="21"/>
                <w:lang w:eastAsia="zh-CN"/>
              </w:rPr>
              <w:t>、</w:t>
            </w:r>
          </w:p>
        </w:tc>
        <w:tc>
          <w:tcPr>
            <w:tcW w:w="1859" w:type="dxa"/>
            <w:tcBorders>
              <w:top w:val="nil"/>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p>
        </w:tc>
        <w:tc>
          <w:tcPr>
            <w:tcW w:w="1628" w:type="dxa"/>
            <w:tcBorders>
              <w:top w:val="nil"/>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p>
        </w:tc>
        <w:tc>
          <w:tcPr>
            <w:tcW w:w="1205" w:type="dxa"/>
            <w:tcBorders>
              <w:top w:val="nil"/>
              <w:left w:val="single" w:color="000000" w:sz="4" w:space="0"/>
              <w:bottom w:val="nil"/>
            </w:tcBorders>
            <w:vAlign w:val="center"/>
          </w:tcPr>
          <w:p>
            <w:pPr>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1072" w:type="dxa"/>
            <w:tcBorders>
              <w:top w:val="nil"/>
              <w:bottom w:val="nil"/>
              <w:right w:val="single" w:color="000000" w:sz="4" w:space="0"/>
            </w:tcBorders>
            <w:vAlign w:val="center"/>
          </w:tcPr>
          <w:p>
            <w:pPr>
              <w:bidi w:val="0"/>
              <w:jc w:val="center"/>
              <w:rPr>
                <w:rFonts w:hint="default" w:ascii="Times New Roman" w:hAnsi="Times New Roman" w:cs="Times New Roman"/>
                <w:sz w:val="21"/>
                <w:szCs w:val="21"/>
              </w:rPr>
            </w:pPr>
          </w:p>
        </w:tc>
        <w:tc>
          <w:tcPr>
            <w:tcW w:w="3280" w:type="dxa"/>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雅安市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眉山市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资阳市</w:t>
            </w:r>
          </w:p>
        </w:tc>
        <w:tc>
          <w:tcPr>
            <w:tcW w:w="1859" w:type="dxa"/>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tc>
        <w:tc>
          <w:tcPr>
            <w:tcW w:w="1628" w:type="dxa"/>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tc>
        <w:tc>
          <w:tcPr>
            <w:tcW w:w="1205" w:type="dxa"/>
            <w:tcBorders>
              <w:top w:val="nil"/>
              <w:left w:val="single" w:color="000000" w:sz="4" w:space="0"/>
              <w:bottom w:val="nil"/>
            </w:tcBorders>
            <w:vAlign w:val="center"/>
          </w:tcPr>
          <w:p>
            <w:pPr>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4" w:hRule="atLeast"/>
          <w:jc w:val="center"/>
        </w:trPr>
        <w:tc>
          <w:tcPr>
            <w:tcW w:w="1072" w:type="dxa"/>
            <w:tcBorders>
              <w:top w:val="nil"/>
              <w:bottom w:val="nil"/>
              <w:right w:val="single" w:color="000000" w:sz="4" w:space="0"/>
            </w:tcBorders>
            <w:vAlign w:val="center"/>
          </w:tcPr>
          <w:p>
            <w:pPr>
              <w:bidi w:val="0"/>
              <w:jc w:val="center"/>
              <w:rPr>
                <w:rFonts w:hint="default" w:ascii="Times New Roman" w:hAnsi="Times New Roman" w:cs="Times New Roman"/>
                <w:sz w:val="21"/>
                <w:szCs w:val="21"/>
              </w:rPr>
            </w:pPr>
          </w:p>
        </w:tc>
        <w:tc>
          <w:tcPr>
            <w:tcW w:w="3280" w:type="dxa"/>
            <w:tcBorders>
              <w:top w:val="single" w:color="000000" w:sz="4" w:space="0"/>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攀枝花市</w:t>
            </w:r>
            <w:r>
              <w:rPr>
                <w:rFonts w:hint="eastAsia" w:ascii="Times New Roman" w:hAnsi="Times New Roman" w:cs="Times New Roman"/>
                <w:sz w:val="21"/>
                <w:szCs w:val="21"/>
                <w:lang w:eastAsia="zh-CN"/>
              </w:rPr>
              <w:t>、</w:t>
            </w:r>
            <w:r>
              <w:rPr>
                <w:rFonts w:hint="default" w:ascii="Times New Roman" w:hAnsi="Times New Roman" w:cs="Times New Roman"/>
                <w:sz w:val="21"/>
                <w:szCs w:val="21"/>
              </w:rPr>
              <w:t>阿坝藏族羌族自治</w:t>
            </w:r>
          </w:p>
        </w:tc>
        <w:tc>
          <w:tcPr>
            <w:tcW w:w="1859" w:type="dxa"/>
            <w:tcBorders>
              <w:top w:val="single" w:color="000000" w:sz="4" w:space="0"/>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拆除工程/土方开</w:t>
            </w:r>
          </w:p>
        </w:tc>
        <w:tc>
          <w:tcPr>
            <w:tcW w:w="1628" w:type="dxa"/>
            <w:tcBorders>
              <w:top w:val="single" w:color="000000" w:sz="4" w:space="0"/>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900</w:t>
            </w:r>
          </w:p>
        </w:tc>
        <w:tc>
          <w:tcPr>
            <w:tcW w:w="1205" w:type="dxa"/>
            <w:tcBorders>
              <w:top w:val="nil"/>
              <w:left w:val="single" w:color="000000" w:sz="4" w:space="0"/>
              <w:bottom w:val="nil"/>
            </w:tcBorders>
            <w:vAlign w:val="center"/>
          </w:tcPr>
          <w:p>
            <w:pPr>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93" w:hRule="atLeast"/>
          <w:jc w:val="center"/>
        </w:trPr>
        <w:tc>
          <w:tcPr>
            <w:tcW w:w="1072" w:type="dxa"/>
            <w:tcBorders>
              <w:top w:val="nil"/>
              <w:bottom w:val="nil"/>
              <w:right w:val="single" w:color="000000" w:sz="4" w:space="0"/>
            </w:tcBorders>
            <w:vAlign w:val="center"/>
          </w:tcPr>
          <w:p>
            <w:pPr>
              <w:bidi w:val="0"/>
              <w:jc w:val="center"/>
              <w:rPr>
                <w:rFonts w:hint="default" w:ascii="Times New Roman" w:hAnsi="Times New Roman" w:cs="Times New Roman"/>
                <w:sz w:val="21"/>
                <w:szCs w:val="21"/>
              </w:rPr>
            </w:pPr>
          </w:p>
        </w:tc>
        <w:tc>
          <w:tcPr>
            <w:tcW w:w="3280" w:type="dxa"/>
            <w:tcBorders>
              <w:top w:val="nil"/>
              <w:left w:val="single" w:color="000000" w:sz="4" w:space="0"/>
              <w:bottom w:val="nil"/>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州</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甘孜</w:t>
            </w:r>
          </w:p>
        </w:tc>
        <w:tc>
          <w:tcPr>
            <w:tcW w:w="1859" w:type="dxa"/>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挖/土方回填阶段</w:t>
            </w:r>
          </w:p>
        </w:tc>
        <w:tc>
          <w:tcPr>
            <w:tcW w:w="1628" w:type="dxa"/>
            <w:tcBorders>
              <w:top w:val="nil"/>
              <w:left w:val="single" w:color="000000" w:sz="4" w:space="0"/>
              <w:bottom w:val="single" w:color="000000" w:sz="4" w:space="0"/>
              <w:right w:val="single" w:color="000000" w:sz="4" w:space="0"/>
            </w:tcBorders>
            <w:vAlign w:val="center"/>
          </w:tcPr>
          <w:p>
            <w:pPr>
              <w:bidi w:val="0"/>
              <w:jc w:val="center"/>
              <w:rPr>
                <w:rFonts w:hint="default" w:ascii="Times New Roman" w:hAnsi="Times New Roman" w:cs="Times New Roman"/>
                <w:sz w:val="21"/>
                <w:szCs w:val="21"/>
              </w:rPr>
            </w:pPr>
          </w:p>
        </w:tc>
        <w:tc>
          <w:tcPr>
            <w:tcW w:w="1205" w:type="dxa"/>
            <w:tcBorders>
              <w:top w:val="nil"/>
              <w:left w:val="single" w:color="000000" w:sz="4" w:space="0"/>
              <w:bottom w:val="nil"/>
            </w:tcBorders>
            <w:vAlign w:val="center"/>
          </w:tcPr>
          <w:p>
            <w:pPr>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0" w:hRule="atLeast"/>
          <w:jc w:val="center"/>
        </w:trPr>
        <w:tc>
          <w:tcPr>
            <w:tcW w:w="1072" w:type="dxa"/>
            <w:tcBorders>
              <w:top w:val="nil"/>
              <w:right w:val="single" w:color="000000" w:sz="4" w:space="0"/>
            </w:tcBorders>
            <w:vAlign w:val="center"/>
          </w:tcPr>
          <w:p>
            <w:pPr>
              <w:bidi w:val="0"/>
              <w:jc w:val="center"/>
              <w:rPr>
                <w:rFonts w:hint="default" w:ascii="Times New Roman" w:hAnsi="Times New Roman" w:cs="Times New Roman"/>
                <w:sz w:val="21"/>
                <w:szCs w:val="21"/>
              </w:rPr>
            </w:pPr>
          </w:p>
        </w:tc>
        <w:tc>
          <w:tcPr>
            <w:tcW w:w="3280" w:type="dxa"/>
            <w:tcBorders>
              <w:top w:val="nil"/>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藏族自治州</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凉山彝族自治州</w:t>
            </w:r>
          </w:p>
        </w:tc>
        <w:tc>
          <w:tcPr>
            <w:tcW w:w="1859"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其他工程阶段</w:t>
            </w:r>
          </w:p>
        </w:tc>
        <w:tc>
          <w:tcPr>
            <w:tcW w:w="1628"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350</w:t>
            </w:r>
          </w:p>
        </w:tc>
        <w:tc>
          <w:tcPr>
            <w:tcW w:w="1205" w:type="dxa"/>
            <w:tcBorders>
              <w:top w:val="nil"/>
              <w:left w:val="single" w:color="000000" w:sz="4" w:space="0"/>
            </w:tcBorders>
            <w:vAlign w:val="center"/>
          </w:tcPr>
          <w:p>
            <w:pPr>
              <w:bidi w:val="0"/>
              <w:jc w:val="center"/>
              <w:rPr>
                <w:rFonts w:hint="default" w:ascii="Times New Roman" w:hAnsi="Times New Roman" w:cs="Times New Roman"/>
                <w:sz w:val="21"/>
                <w:szCs w:val="21"/>
              </w:rPr>
            </w:pPr>
          </w:p>
        </w:tc>
      </w:tr>
    </w:tbl>
    <w:p>
      <w:pPr>
        <w:pStyle w:val="2"/>
        <w:spacing w:before="12"/>
        <w:rPr>
          <w:rFonts w:hint="default" w:ascii="Times New Roman" w:hAnsi="Times New Roman" w:cs="Times New Roman"/>
          <w:b/>
          <w:sz w:val="16"/>
        </w:rPr>
      </w:pPr>
    </w:p>
    <w:p>
      <w:pPr>
        <w:pStyle w:val="5"/>
        <w:bidi w:val="0"/>
        <w:rPr>
          <w:rFonts w:hint="default" w:ascii="Times New Roman" w:hAnsi="Times New Roman" w:cs="Times New Roman"/>
          <w:lang w:val="en-US" w:eastAsia="zh-CN"/>
        </w:rPr>
      </w:pPr>
      <w:bookmarkStart w:id="40" w:name="1.6.4 生态环境"/>
      <w:bookmarkEnd w:id="40"/>
      <w:bookmarkStart w:id="41" w:name="1.6.4 生态环境"/>
      <w:bookmarkEnd w:id="41"/>
      <w:r>
        <w:rPr>
          <w:rFonts w:hint="default" w:ascii="Times New Roman" w:hAnsi="Times New Roman" w:cs="Times New Roman"/>
          <w:lang w:val="en-US" w:eastAsia="zh-CN"/>
        </w:rPr>
        <w:t>1.6.4.生态环境</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lang w:val="zh-CN" w:eastAsia="zh-CN"/>
        </w:rPr>
        <w:t>以不减少区域内濒危珍稀动植物种类和不破坏生态系统完整性为目标。</w:t>
      </w:r>
    </w:p>
    <w:p>
      <w:pPr>
        <w:pStyle w:val="5"/>
        <w:bidi w:val="0"/>
        <w:rPr>
          <w:rFonts w:hint="default" w:ascii="Times New Roman" w:hAnsi="Times New Roman" w:cs="Times New Roman"/>
          <w:lang w:val="en-US" w:eastAsia="zh-CN"/>
        </w:rPr>
      </w:pPr>
      <w:bookmarkStart w:id="42" w:name="1.6.5 土壤环境"/>
      <w:bookmarkEnd w:id="42"/>
      <w:bookmarkStart w:id="43" w:name="1.6.5 土壤环境"/>
      <w:bookmarkEnd w:id="43"/>
      <w:r>
        <w:rPr>
          <w:rFonts w:hint="default" w:ascii="Times New Roman" w:hAnsi="Times New Roman" w:cs="Times New Roman"/>
          <w:lang w:val="en-US" w:eastAsia="zh-CN"/>
        </w:rPr>
        <w:t>1.6.5.土壤环境</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19"/>
        </w:rPr>
      </w:pPr>
      <w:r>
        <w:rPr>
          <w:rFonts w:hint="default" w:ascii="Times New Roman" w:hAnsi="Times New Roman" w:cs="Times New Roman"/>
        </w:rPr>
        <w:t>土壤执行《 土壤环境质量</w:t>
      </w:r>
      <w:r>
        <w:rPr>
          <w:rFonts w:hint="default" w:ascii="Times New Roman" w:hAnsi="Times New Roman" w:cs="Times New Roman"/>
        </w:rPr>
        <w:tab/>
      </w:r>
      <w:r>
        <w:rPr>
          <w:rFonts w:hint="default" w:ascii="Times New Roman" w:hAnsi="Times New Roman" w:cs="Times New Roman"/>
        </w:rPr>
        <w:t>农用土壤污染风险管控标准（ 试行 ）》（GB15618-2018）</w:t>
      </w:r>
      <w:r>
        <w:rPr>
          <w:rFonts w:hint="eastAsia" w:ascii="Times New Roman" w:hAnsi="Times New Roman" w:cs="Times New Roman"/>
          <w:lang w:eastAsia="zh-CN"/>
        </w:rPr>
        <w:t>、</w:t>
      </w:r>
      <w:r>
        <w:rPr>
          <w:rFonts w:hint="default" w:ascii="Times New Roman" w:hAnsi="Times New Roman" w:cs="Times New Roman"/>
        </w:rPr>
        <w:t>《土壤环境质量 建设用地土壤污染风险管控标准（试行）》（GB36600-2018）。</w:t>
      </w:r>
    </w:p>
    <w:p>
      <w:pPr>
        <w:pStyle w:val="5"/>
        <w:bidi w:val="0"/>
        <w:rPr>
          <w:rFonts w:hint="default" w:ascii="Times New Roman" w:hAnsi="Times New Roman" w:cs="Times New Roman"/>
          <w:lang w:val="en-US" w:eastAsia="zh-CN"/>
        </w:rPr>
      </w:pPr>
      <w:bookmarkStart w:id="44" w:name="1.6.6 固体废弃物"/>
      <w:bookmarkEnd w:id="44"/>
      <w:bookmarkStart w:id="45" w:name="1.6.6 固体废弃物"/>
      <w:bookmarkEnd w:id="45"/>
      <w:r>
        <w:rPr>
          <w:rFonts w:hint="default" w:ascii="Times New Roman" w:hAnsi="Times New Roman" w:cs="Times New Roman"/>
          <w:lang w:val="en-US" w:eastAsia="zh-CN"/>
        </w:rPr>
        <w:t>1.6.6.固体废弃物</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一般固体废物执行《一般工业固体废物贮存</w:t>
      </w:r>
      <w:r>
        <w:rPr>
          <w:rFonts w:hint="eastAsia" w:ascii="Times New Roman" w:hAnsi="Times New Roman" w:cs="Times New Roman"/>
          <w:lang w:eastAsia="zh-CN"/>
        </w:rPr>
        <w:t>、</w:t>
      </w:r>
      <w:r>
        <w:rPr>
          <w:rFonts w:hint="default" w:ascii="Times New Roman" w:hAnsi="Times New Roman" w:cs="Times New Roman"/>
        </w:rPr>
        <w:t>处置场污染控制标准》（GB 18599-2001）及 2013 年修改单中的要求；危险废物执行《危险废物贮存污染控制标准》（GB 18597-2001）及 2013  年修改单中的要求。</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firstLine="0"/>
        <w:textAlignment w:val="auto"/>
        <w:rPr>
          <w:rFonts w:hint="default" w:ascii="Times New Roman" w:hAnsi="Times New Roman" w:cs="Times New Roman"/>
          <w:sz w:val="24"/>
          <w:szCs w:val="24"/>
          <w:lang w:val="en-US" w:eastAsia="zh-CN"/>
        </w:rPr>
      </w:pPr>
      <w:bookmarkStart w:id="46" w:name="1.6.7 水土流失"/>
      <w:bookmarkEnd w:id="46"/>
      <w:bookmarkStart w:id="47" w:name="1.6.7 水土流失"/>
      <w:bookmarkEnd w:id="47"/>
      <w:r>
        <w:rPr>
          <w:rFonts w:hint="default" w:ascii="Times New Roman" w:hAnsi="Times New Roman" w:cs="Times New Roman"/>
          <w:sz w:val="24"/>
          <w:szCs w:val="24"/>
          <w:lang w:val="en-US" w:eastAsia="zh-CN"/>
        </w:rPr>
        <w:t>1.6.7.水土流失</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本项目水土流失执行西南紫色土区水土流失防治一级标准。</w:t>
      </w:r>
    </w:p>
    <w:p>
      <w:pPr>
        <w:pStyle w:val="4"/>
        <w:keepNext/>
        <w:keepLines/>
        <w:pageBreakBefore w:val="0"/>
        <w:widowControl w:val="0"/>
        <w:kinsoku/>
        <w:wordWrap/>
        <w:overflowPunct/>
        <w:topLinePunct w:val="0"/>
        <w:autoSpaceDE w:val="0"/>
        <w:autoSpaceDN w:val="0"/>
        <w:bidi w:val="0"/>
        <w:adjustRightInd/>
        <w:snapToGrid/>
        <w:spacing w:before="0" w:after="0" w:line="360" w:lineRule="auto"/>
        <w:textAlignment w:val="auto"/>
        <w:rPr>
          <w:rFonts w:hint="default" w:ascii="Times New Roman" w:hAnsi="Times New Roman" w:cs="Times New Roman" w:eastAsiaTheme="minorEastAsia"/>
          <w:b/>
          <w:sz w:val="24"/>
          <w:szCs w:val="24"/>
          <w:lang w:val="en-US" w:eastAsia="zh-CN"/>
        </w:rPr>
      </w:pPr>
      <w:bookmarkStart w:id="48" w:name="_Toc14634"/>
      <w:r>
        <w:rPr>
          <w:rFonts w:hint="default" w:ascii="Times New Roman" w:hAnsi="Times New Roman" w:cs="Times New Roman" w:eastAsiaTheme="minorEastAsia"/>
          <w:b/>
          <w:sz w:val="24"/>
          <w:szCs w:val="24"/>
          <w:lang w:val="en-US" w:eastAsia="zh-CN"/>
        </w:rPr>
        <w:t>1.7.评价等级</w:t>
      </w:r>
      <w:bookmarkEnd w:id="48"/>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根据本项目工程特点</w:t>
      </w:r>
      <w:r>
        <w:rPr>
          <w:rFonts w:hint="eastAsia" w:ascii="Times New Roman" w:hAnsi="Times New Roman" w:cs="Times New Roman"/>
          <w:lang w:eastAsia="zh-CN"/>
        </w:rPr>
        <w:t>、</w:t>
      </w:r>
      <w:r>
        <w:rPr>
          <w:rFonts w:hint="default" w:ascii="Times New Roman" w:hAnsi="Times New Roman" w:cs="Times New Roman"/>
        </w:rPr>
        <w:t>建设地区环境特征，按《环境影响评价技术导则》和</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《公路建设项目环境影响评价规范》中确定评价等级的原则和方法，评价采用等级如表 1.7-1 所示。</w:t>
      </w:r>
    </w:p>
    <w:p>
      <w:pPr>
        <w:tabs>
          <w:tab w:val="left" w:pos="911"/>
        </w:tabs>
        <w:spacing w:before="0" w:line="268" w:lineRule="exact"/>
        <w:ind w:left="0" w:right="33" w:firstLine="0"/>
        <w:jc w:val="center"/>
        <w:rPr>
          <w:rFonts w:hint="default" w:ascii="Times New Roman" w:hAnsi="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1.7-1</w:t>
      </w:r>
      <w:r>
        <w:rPr>
          <w:rFonts w:hint="default" w:ascii="Times New Roman" w:hAnsi="Times New Roman" w:eastAsia="Times New Roman" w:cs="Times New Roman"/>
          <w:b/>
          <w:sz w:val="21"/>
        </w:rPr>
        <w:tab/>
      </w:r>
      <w:r>
        <w:rPr>
          <w:rFonts w:hint="default" w:ascii="Times New Roman" w:hAnsi="Times New Roman" w:cs="Times New Roman"/>
          <w:b/>
          <w:sz w:val="21"/>
        </w:rPr>
        <w:t>评价等级划分</w:t>
      </w:r>
    </w:p>
    <w:tbl>
      <w:tblPr>
        <w:tblStyle w:val="17"/>
        <w:tblW w:w="475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615"/>
        <w:gridCol w:w="1047"/>
        <w:gridCol w:w="6384"/>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0" w:hRule="atLeast"/>
          <w:jc w:val="center"/>
        </w:trPr>
        <w:tc>
          <w:tcPr>
            <w:tcW w:w="1507" w:type="dxa"/>
            <w:tcBorders>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评价内容</w:t>
            </w:r>
          </w:p>
        </w:tc>
        <w:tc>
          <w:tcPr>
            <w:tcW w:w="975"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工作等级</w:t>
            </w:r>
          </w:p>
        </w:tc>
        <w:tc>
          <w:tcPr>
            <w:tcW w:w="5955"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依据</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rPr>
          <w:trHeight w:val="959" w:hRule="atLeast"/>
          <w:jc w:val="center"/>
        </w:trPr>
        <w:tc>
          <w:tcPr>
            <w:tcW w:w="1507"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一</w:t>
            </w:r>
            <w:r>
              <w:rPr>
                <w:rFonts w:hint="default" w:ascii="Times New Roman" w:hAnsi="Times New Roman" w:cs="Times New Roman"/>
                <w:sz w:val="21"/>
                <w:szCs w:val="21"/>
              </w:rPr>
              <w:t>级</w:t>
            </w:r>
          </w:p>
        </w:tc>
        <w:tc>
          <w:tcPr>
            <w:tcW w:w="59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依据HJ 2.4-2009，项目沿线主要农村区域，经预测项目建设前后评价范围内主要声环境敏感目标噪声级增加量5dB</w:t>
            </w:r>
            <w:r>
              <w:rPr>
                <w:rFonts w:hint="eastAsia" w:ascii="Times New Roman" w:hAnsi="Times New Roman" w:cs="Times New Roman"/>
                <w:sz w:val="21"/>
                <w:szCs w:val="21"/>
                <w:lang w:eastAsia="zh-CN"/>
              </w:rPr>
              <w:t>（</w:t>
            </w:r>
            <w:r>
              <w:rPr>
                <w:rFonts w:hint="default" w:ascii="Times New Roman" w:hAnsi="Times New Roman" w:cs="Times New Roman"/>
                <w:sz w:val="21"/>
                <w:szCs w:val="21"/>
              </w:rPr>
              <w:t>A</w:t>
            </w:r>
            <w:r>
              <w:rPr>
                <w:rFonts w:hint="eastAsia" w:ascii="Times New Roman" w:hAnsi="Times New Roman" w:cs="Times New Roman"/>
                <w:sz w:val="21"/>
                <w:szCs w:val="21"/>
                <w:lang w:eastAsia="zh-CN"/>
              </w:rPr>
              <w:t>）</w:t>
            </w:r>
            <w:r>
              <w:rPr>
                <w:rFonts w:hint="default" w:ascii="Times New Roman" w:hAnsi="Times New Roman" w:cs="Times New Roman"/>
                <w:sz w:val="21"/>
                <w:szCs w:val="21"/>
              </w:rPr>
              <w:t>以上，故声环境评价等级为</w:t>
            </w:r>
            <w:r>
              <w:rPr>
                <w:rFonts w:hint="default" w:ascii="Times New Roman" w:hAnsi="Times New Roman" w:cs="Times New Roman"/>
                <w:sz w:val="21"/>
                <w:szCs w:val="21"/>
                <w:lang w:val="en-US" w:eastAsia="zh-CN"/>
              </w:rPr>
              <w:t>一</w:t>
            </w:r>
            <w:r>
              <w:rPr>
                <w:rFonts w:hint="default" w:ascii="Times New Roman" w:hAnsi="Times New Roman" w:cs="Times New Roman"/>
                <w:sz w:val="21"/>
                <w:szCs w:val="21"/>
              </w:rPr>
              <w:t>级。</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281" w:hRule="atLeast"/>
          <w:jc w:val="center"/>
        </w:trPr>
        <w:tc>
          <w:tcPr>
            <w:tcW w:w="1507"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环境空气</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三级</w:t>
            </w:r>
          </w:p>
        </w:tc>
        <w:tc>
          <w:tcPr>
            <w:tcW w:w="59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根据HJ2.2-2018，等级公路按工程沿线主要集中式排放源（如服务区）排放的污染物计算其评价等级。项目沿线</w:t>
            </w:r>
            <w:r>
              <w:rPr>
                <w:rFonts w:hint="default" w:ascii="Times New Roman" w:hAnsi="Times New Roman" w:cs="Times New Roman"/>
                <w:sz w:val="21"/>
                <w:szCs w:val="21"/>
                <w:lang w:val="en-US" w:eastAsia="zh-CN"/>
              </w:rPr>
              <w:t>无</w:t>
            </w:r>
            <w:r>
              <w:rPr>
                <w:rFonts w:hint="default" w:ascii="Times New Roman" w:hAnsi="Times New Roman" w:cs="Times New Roman"/>
                <w:sz w:val="21"/>
                <w:szCs w:val="21"/>
              </w:rPr>
              <w:t>服务设施因此评价等级确定为三级。</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279" w:hRule="atLeast"/>
          <w:jc w:val="center"/>
        </w:trPr>
        <w:tc>
          <w:tcPr>
            <w:tcW w:w="1507"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生态环境</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三</w:t>
            </w:r>
            <w:r>
              <w:rPr>
                <w:rFonts w:hint="default" w:ascii="Times New Roman" w:hAnsi="Times New Roman" w:cs="Times New Roman"/>
                <w:sz w:val="21"/>
                <w:szCs w:val="21"/>
              </w:rPr>
              <w:t>级</w:t>
            </w:r>
          </w:p>
        </w:tc>
        <w:tc>
          <w:tcPr>
            <w:tcW w:w="59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依据HJ 19-2011，本项目全线均为新建，主线全长约 </w:t>
            </w:r>
            <w:r>
              <w:rPr>
                <w:rFonts w:hint="default" w:ascii="Times New Roman" w:hAnsi="Times New Roman" w:cs="Times New Roman"/>
                <w:sz w:val="21"/>
                <w:szCs w:val="21"/>
                <w:lang w:val="en-US" w:eastAsia="zh-CN"/>
              </w:rPr>
              <w:t>3830</w:t>
            </w:r>
            <w:r>
              <w:rPr>
                <w:rFonts w:hint="default" w:ascii="Times New Roman" w:hAnsi="Times New Roman" w:cs="Times New Roman"/>
                <w:sz w:val="21"/>
                <w:szCs w:val="21"/>
              </w:rPr>
              <w:t>m</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0km，</w:t>
            </w:r>
            <w:r>
              <w:rPr>
                <w:rFonts w:hint="default" w:ascii="Times New Roman" w:hAnsi="Times New Roman" w:cs="Times New Roman"/>
                <w:sz w:val="21"/>
                <w:szCs w:val="21"/>
                <w:lang w:val="en-US" w:eastAsia="zh-CN"/>
              </w:rPr>
              <w:t>占地</w:t>
            </w:r>
            <w:r>
              <w:rPr>
                <w:rFonts w:hint="default" w:ascii="Times New Roman" w:hAnsi="Times New Roman" w:eastAsia="宋体" w:cs="Times New Roman"/>
                <w:b w:val="0"/>
                <w:bCs w:val="0"/>
                <w:sz w:val="21"/>
                <w:szCs w:val="21"/>
                <w:highlight w:val="none"/>
                <w:lang w:val="en-US" w:eastAsia="zh-CN"/>
              </w:rPr>
              <w:t>156798.43</w:t>
            </w:r>
            <w:r>
              <w:rPr>
                <w:rFonts w:hint="default" w:ascii="Times New Roman" w:hAnsi="Times New Roman" w:eastAsia="宋体" w:cs="Times New Roman"/>
                <w:b w:val="0"/>
                <w:bCs w:val="0"/>
                <w:sz w:val="21"/>
                <w:szCs w:val="21"/>
                <w:highlight w:val="none"/>
              </w:rPr>
              <w:t>m</w:t>
            </w:r>
            <w:r>
              <w:rPr>
                <w:rFonts w:hint="default" w:ascii="Times New Roman" w:hAnsi="Times New Roman" w:eastAsia="宋体" w:cs="Times New Roman"/>
                <w:b w:val="0"/>
                <w:bCs w:val="0"/>
                <w:sz w:val="21"/>
                <w:szCs w:val="21"/>
                <w:highlight w:val="none"/>
                <w:vertAlign w:val="superscript"/>
              </w:rPr>
              <w:t>2</w:t>
            </w:r>
            <w:r>
              <w:rPr>
                <w:rFonts w:hint="default" w:ascii="Times New Roman" w:hAnsi="Times New Roman" w:cs="Times New Roman"/>
                <w:b w:val="0"/>
                <w:bCs w:val="0"/>
                <w:sz w:val="21"/>
                <w:szCs w:val="21"/>
                <w:highlight w:val="none"/>
                <w:vertAlign w:val="baseline"/>
                <w:lang w:val="en-US" w:eastAsia="zh-CN"/>
              </w:rPr>
              <w:t>＜2km</w:t>
            </w:r>
            <w:r>
              <w:rPr>
                <w:rFonts w:hint="default" w:ascii="Times New Roman" w:hAnsi="Times New Roman" w:cs="Times New Roman"/>
                <w:b w:val="0"/>
                <w:bCs w:val="0"/>
                <w:sz w:val="21"/>
                <w:szCs w:val="21"/>
                <w:highlight w:val="none"/>
                <w:vertAlign w:val="superscript"/>
                <w:lang w:val="en-US" w:eastAsia="zh-CN"/>
              </w:rPr>
              <w:t>2</w:t>
            </w:r>
            <w:r>
              <w:rPr>
                <w:rFonts w:hint="default" w:ascii="Times New Roman" w:hAnsi="Times New Roman" w:cs="Times New Roman"/>
                <w:b w:val="0"/>
                <w:bCs w:val="0"/>
                <w:sz w:val="21"/>
                <w:szCs w:val="21"/>
                <w:highlight w:val="none"/>
                <w:vertAlign w:val="baseline"/>
                <w:lang w:val="en-US" w:eastAsia="zh-CN"/>
              </w:rPr>
              <w:t>，</w:t>
            </w:r>
            <w:r>
              <w:rPr>
                <w:rFonts w:hint="default" w:ascii="Times New Roman" w:hAnsi="Times New Roman" w:cs="Times New Roman"/>
                <w:sz w:val="21"/>
                <w:szCs w:val="21"/>
              </w:rPr>
              <w:t>不涉及自然保护区</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森林公园</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湿地公园</w:t>
            </w:r>
            <w:r>
              <w:rPr>
                <w:rFonts w:hint="eastAsia" w:ascii="Times New Roman" w:hAnsi="Times New Roman" w:cs="Times New Roman"/>
                <w:sz w:val="21"/>
                <w:szCs w:val="21"/>
                <w:lang w:eastAsia="zh-CN"/>
              </w:rPr>
              <w:t>、</w:t>
            </w:r>
            <w:r>
              <w:rPr>
                <w:rFonts w:hint="default" w:ascii="Times New Roman" w:hAnsi="Times New Roman" w:cs="Times New Roman"/>
                <w:sz w:val="21"/>
                <w:szCs w:val="21"/>
              </w:rPr>
              <w:t>风景名胜区等敏感区</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国家级水产种质资源保护区</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生态保护红线，</w:t>
            </w:r>
            <w:r>
              <w:rPr>
                <w:rFonts w:hint="default" w:ascii="Times New Roman" w:hAnsi="Times New Roman" w:cs="Times New Roman"/>
                <w:sz w:val="21"/>
                <w:szCs w:val="21"/>
                <w:lang w:val="en-US" w:eastAsia="zh-CN"/>
              </w:rPr>
              <w:t>属于一般区域。</w:t>
            </w:r>
            <w:r>
              <w:rPr>
                <w:rFonts w:hint="default" w:ascii="Times New Roman" w:hAnsi="Times New Roman" w:cs="Times New Roman"/>
                <w:sz w:val="21"/>
                <w:szCs w:val="21"/>
              </w:rPr>
              <w:t>因此，确定评价等级为</w:t>
            </w:r>
            <w:r>
              <w:rPr>
                <w:rFonts w:hint="default" w:ascii="Times New Roman" w:hAnsi="Times New Roman" w:cs="Times New Roman"/>
                <w:sz w:val="21"/>
                <w:szCs w:val="21"/>
                <w:lang w:val="en-US" w:eastAsia="zh-CN"/>
              </w:rPr>
              <w:t>三</w:t>
            </w:r>
            <w:r>
              <w:rPr>
                <w:rFonts w:hint="default" w:ascii="Times New Roman" w:hAnsi="Times New Roman" w:cs="Times New Roman"/>
                <w:sz w:val="21"/>
                <w:szCs w:val="21"/>
              </w:rPr>
              <w:t>级。</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922" w:hRule="atLeast"/>
          <w:jc w:val="center"/>
        </w:trPr>
        <w:tc>
          <w:tcPr>
            <w:tcW w:w="1507" w:type="dxa"/>
            <w:vMerge w:val="restart"/>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地表水环境</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水污染： 三级B</w:t>
            </w:r>
          </w:p>
        </w:tc>
        <w:tc>
          <w:tcPr>
            <w:tcW w:w="59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依据HJ 2.3-2018，本项目</w:t>
            </w:r>
            <w:r>
              <w:rPr>
                <w:rFonts w:hint="default" w:ascii="Times New Roman" w:hAnsi="Times New Roman" w:cs="Times New Roman"/>
                <w:sz w:val="21"/>
                <w:szCs w:val="21"/>
                <w:lang w:val="en-US" w:eastAsia="zh-CN"/>
              </w:rPr>
              <w:t>沿线涉及渠江</w:t>
            </w:r>
            <w:r>
              <w:rPr>
                <w:rFonts w:hint="eastAsia" w:ascii="Times New Roman" w:hAnsi="Times New Roman" w:cs="Times New Roman"/>
                <w:sz w:val="21"/>
                <w:szCs w:val="21"/>
                <w:lang w:val="en-US" w:eastAsia="zh-CN"/>
              </w:rPr>
              <w:t>水系</w:t>
            </w:r>
            <w:r>
              <w:rPr>
                <w:rFonts w:hint="default" w:ascii="Times New Roman" w:hAnsi="Times New Roman" w:cs="Times New Roman"/>
                <w:sz w:val="21"/>
                <w:szCs w:val="21"/>
                <w:lang w:val="en-US" w:eastAsia="zh-CN"/>
              </w:rPr>
              <w:t>，为Ⅲ类水体；</w:t>
            </w:r>
            <w:r>
              <w:rPr>
                <w:rFonts w:hint="default" w:ascii="Times New Roman" w:hAnsi="Times New Roman" w:cs="Times New Roman"/>
                <w:sz w:val="21"/>
                <w:szCs w:val="21"/>
              </w:rPr>
              <w:t>施工期全线生产废水</w:t>
            </w:r>
            <w:r>
              <w:rPr>
                <w:rFonts w:hint="default" w:ascii="Times New Roman" w:hAnsi="Times New Roman" w:cs="Times New Roman"/>
                <w:sz w:val="21"/>
                <w:szCs w:val="21"/>
                <w:lang w:val="en-US" w:eastAsia="zh-CN"/>
              </w:rPr>
              <w:t>循环使用</w:t>
            </w:r>
            <w:r>
              <w:rPr>
                <w:rFonts w:hint="default" w:ascii="Times New Roman" w:hAnsi="Times New Roman" w:cs="Times New Roman"/>
                <w:sz w:val="21"/>
                <w:szCs w:val="21"/>
              </w:rPr>
              <w:t>，不</w:t>
            </w:r>
            <w:r>
              <w:rPr>
                <w:rFonts w:hint="default" w:ascii="Times New Roman" w:hAnsi="Times New Roman" w:cs="Times New Roman"/>
                <w:sz w:val="21"/>
                <w:szCs w:val="21"/>
                <w:lang w:val="en-US" w:eastAsia="zh-CN"/>
              </w:rPr>
              <w:t>外排</w:t>
            </w:r>
            <w:r>
              <w:rPr>
                <w:rFonts w:hint="default" w:ascii="Times New Roman" w:hAnsi="Times New Roman" w:cs="Times New Roman"/>
                <w:sz w:val="21"/>
                <w:szCs w:val="21"/>
              </w:rPr>
              <w:t>。施工期生活污水经收集处理后用作农林灌不直排地表水体；</w:t>
            </w:r>
            <w:r>
              <w:rPr>
                <w:rFonts w:hint="default" w:ascii="Times New Roman" w:hAnsi="Times New Roman" w:cs="Times New Roman"/>
                <w:sz w:val="21"/>
                <w:szCs w:val="21"/>
                <w:lang w:val="en-US" w:eastAsia="zh-CN"/>
              </w:rPr>
              <w:t>本项目无</w:t>
            </w:r>
            <w:r>
              <w:rPr>
                <w:rFonts w:hint="default" w:ascii="Times New Roman" w:hAnsi="Times New Roman" w:cs="Times New Roman"/>
                <w:sz w:val="21"/>
                <w:szCs w:val="21"/>
              </w:rPr>
              <w:t>服务区</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停</w:t>
            </w:r>
            <w:r>
              <w:rPr>
                <w:rFonts w:hint="default" w:ascii="Times New Roman" w:hAnsi="Times New Roman" w:cs="Times New Roman"/>
                <w:sz w:val="21"/>
                <w:szCs w:val="21"/>
                <w:lang w:val="en-US" w:eastAsia="zh-CN"/>
              </w:rPr>
              <w:t>车</w:t>
            </w:r>
            <w:r>
              <w:rPr>
                <w:rFonts w:hint="default" w:ascii="Times New Roman" w:hAnsi="Times New Roman" w:cs="Times New Roman"/>
                <w:sz w:val="21"/>
                <w:szCs w:val="21"/>
              </w:rPr>
              <w:t>区</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运营期项目本身无废水产生</w:t>
            </w:r>
            <w:r>
              <w:rPr>
                <w:rFonts w:hint="default" w:ascii="Times New Roman" w:hAnsi="Times New Roman" w:cs="Times New Roman"/>
                <w:sz w:val="21"/>
                <w:szCs w:val="21"/>
              </w:rPr>
              <w:t>。故评价等级确定为三</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级 B。</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597" w:hRule="atLeast"/>
          <w:jc w:val="center"/>
        </w:trPr>
        <w:tc>
          <w:tcPr>
            <w:tcW w:w="1507"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水 文 要素：三级</w:t>
            </w:r>
          </w:p>
        </w:tc>
        <w:tc>
          <w:tcPr>
            <w:tcW w:w="59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本项目共计</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座桥梁</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但不涉水施工</w:t>
            </w:r>
            <w:r>
              <w:rPr>
                <w:rFonts w:hint="default" w:ascii="Times New Roman" w:hAnsi="Times New Roman" w:cs="Times New Roman"/>
                <w:sz w:val="21"/>
                <w:szCs w:val="21"/>
                <w:lang w:eastAsia="zh-CN"/>
              </w:rPr>
              <w:t>，</w:t>
            </w:r>
            <w:r>
              <w:rPr>
                <w:rFonts w:hint="default" w:ascii="Times New Roman" w:hAnsi="Times New Roman" w:cs="Times New Roman"/>
                <w:sz w:val="21"/>
                <w:szCs w:val="21"/>
              </w:rPr>
              <w:t>故水文要素影</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响评价等级为三级。</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62" w:hRule="atLeast"/>
          <w:jc w:val="center"/>
        </w:trPr>
        <w:tc>
          <w:tcPr>
            <w:tcW w:w="1507"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地下水环境</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9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依据HJ 610-2016，本项目属于 IV 类建设项目，Ⅳ类建设项目可不开展地下水环境影响评价。</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59" w:hRule="atLeast"/>
          <w:jc w:val="center"/>
        </w:trPr>
        <w:tc>
          <w:tcPr>
            <w:tcW w:w="1507"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土壤环境</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9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无</w:t>
            </w:r>
            <w:r>
              <w:rPr>
                <w:rFonts w:hint="default" w:ascii="Times New Roman" w:hAnsi="Times New Roman" w:cs="Times New Roman"/>
                <w:sz w:val="21"/>
                <w:szCs w:val="21"/>
              </w:rPr>
              <w:t>服务区加油站。依据 HJ964-2018，本项目属于 IV 类建设项目，Ⅳ类建设项目可不开展土壤环境影响评价。</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59" w:hRule="atLeast"/>
          <w:jc w:val="center"/>
        </w:trPr>
        <w:tc>
          <w:tcPr>
            <w:tcW w:w="1507" w:type="dxa"/>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zh-CN" w:eastAsia="zh-CN"/>
              </w:rPr>
            </w:pPr>
            <w:r>
              <w:rPr>
                <w:rFonts w:hint="default" w:ascii="Times New Roman" w:hAnsi="Times New Roman" w:cs="Times New Roman"/>
                <w:sz w:val="21"/>
                <w:szCs w:val="21"/>
              </w:rPr>
              <w:t>环境风险</w:t>
            </w:r>
          </w:p>
        </w:tc>
        <w:tc>
          <w:tcPr>
            <w:tcW w:w="975"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zh-CN" w:eastAsia="zh-CN"/>
              </w:rPr>
            </w:pPr>
            <w:r>
              <w:rPr>
                <w:rFonts w:hint="default" w:ascii="Times New Roman" w:hAnsi="Times New Roman" w:cs="Times New Roman"/>
                <w:sz w:val="21"/>
                <w:szCs w:val="21"/>
              </w:rPr>
              <w:t>/</w:t>
            </w:r>
          </w:p>
        </w:tc>
        <w:tc>
          <w:tcPr>
            <w:tcW w:w="595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zh-CN" w:eastAsia="zh-CN"/>
              </w:rPr>
            </w:pPr>
            <w:r>
              <w:rPr>
                <w:rFonts w:hint="default" w:ascii="Times New Roman" w:hAnsi="Times New Roman" w:cs="Times New Roman"/>
                <w:sz w:val="21"/>
                <w:szCs w:val="21"/>
              </w:rPr>
              <w:t>本项目为公路建设项目，根据 HJ169-2018 规定的一般性原则要求和《公路建设项目环境影响评价规范》JTG B03-2006，本次评价主要针对营运期交通运输事故污染环境风险进行分析评价，尤其是</w:t>
            </w:r>
            <w:r>
              <w:rPr>
                <w:rFonts w:hint="default" w:ascii="Times New Roman" w:hAnsi="Times New Roman" w:cs="Times New Roman"/>
                <w:sz w:val="21"/>
                <w:szCs w:val="21"/>
                <w:lang w:val="en-US" w:eastAsia="zh-CN"/>
              </w:rPr>
              <w:t>跨越渠江</w:t>
            </w:r>
            <w:r>
              <w:rPr>
                <w:rFonts w:hint="eastAsia" w:ascii="Times New Roman" w:hAnsi="Times New Roman" w:cs="Times New Roman"/>
                <w:sz w:val="21"/>
                <w:szCs w:val="21"/>
                <w:lang w:val="en-US" w:eastAsia="zh-CN"/>
              </w:rPr>
              <w:t>一级支流知县坝河</w:t>
            </w:r>
            <w:r>
              <w:rPr>
                <w:rFonts w:hint="default" w:ascii="Times New Roman" w:hAnsi="Times New Roman" w:cs="Times New Roman"/>
                <w:sz w:val="21"/>
                <w:szCs w:val="21"/>
                <w:lang w:val="en-US" w:eastAsia="zh-CN"/>
              </w:rPr>
              <w:t>支流</w:t>
            </w:r>
            <w:r>
              <w:rPr>
                <w:rFonts w:hint="eastAsia" w:ascii="Times New Roman" w:hAnsi="Times New Roman" w:cs="Times New Roman"/>
                <w:sz w:val="21"/>
                <w:szCs w:val="21"/>
                <w:lang w:val="en-US" w:eastAsia="zh-CN"/>
              </w:rPr>
              <w:t>、二级支流四合溪</w:t>
            </w:r>
            <w:r>
              <w:rPr>
                <w:rFonts w:hint="default" w:ascii="Times New Roman" w:hAnsi="Times New Roman" w:cs="Times New Roman"/>
                <w:sz w:val="21"/>
                <w:szCs w:val="21"/>
                <w:lang w:val="en-US" w:eastAsia="zh-CN"/>
              </w:rPr>
              <w:t>路段</w:t>
            </w:r>
            <w:r>
              <w:rPr>
                <w:rFonts w:hint="default" w:ascii="Times New Roman" w:hAnsi="Times New Roman" w:cs="Times New Roman"/>
                <w:sz w:val="21"/>
                <w:szCs w:val="21"/>
              </w:rPr>
              <w:t>。</w:t>
            </w:r>
          </w:p>
        </w:tc>
      </w:tr>
    </w:tbl>
    <w:p>
      <w:pPr>
        <w:bidi w:val="0"/>
        <w:rPr>
          <w:rFonts w:hint="default"/>
          <w:lang w:val="en-US" w:eastAsia="zh-CN"/>
        </w:rPr>
      </w:pPr>
      <w:bookmarkStart w:id="49" w:name="_Toc32096"/>
    </w:p>
    <w:p>
      <w:pPr>
        <w:pStyle w:val="4"/>
        <w:bidi w:val="0"/>
        <w:rPr>
          <w:rFonts w:hint="default" w:ascii="Times New Roman" w:hAnsi="Times New Roman" w:cs="Times New Roman"/>
        </w:rPr>
      </w:pPr>
      <w:r>
        <w:rPr>
          <w:rFonts w:hint="default" w:ascii="Times New Roman" w:hAnsi="Times New Roman" w:cs="Times New Roman"/>
          <w:lang w:val="en-US" w:eastAsia="zh-CN"/>
        </w:rPr>
        <w:t>1.8.评价范围</w:t>
      </w:r>
      <w:bookmarkEnd w:id="49"/>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firstLine="0"/>
        <w:textAlignment w:val="auto"/>
        <w:rPr>
          <w:rFonts w:hint="default" w:ascii="Times New Roman" w:hAnsi="Times New Roman" w:cs="Times New Roman"/>
          <w:sz w:val="27"/>
        </w:rPr>
      </w:pPr>
      <w:bookmarkStart w:id="50" w:name="1.7.2.1工程评价范围"/>
      <w:bookmarkEnd w:id="50"/>
      <w:bookmarkStart w:id="51" w:name="1.7.2.1工程评价范围"/>
      <w:bookmarkEnd w:id="51"/>
      <w:r>
        <w:rPr>
          <w:rFonts w:hint="default" w:ascii="Times New Roman" w:hAnsi="Times New Roman" w:cs="Times New Roman"/>
          <w:sz w:val="24"/>
          <w:szCs w:val="24"/>
          <w:lang w:val="en-US" w:eastAsia="zh-CN"/>
        </w:rPr>
        <w:t>1.8.1.工程评价范围</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本次工程评价范围包括：项目主线推荐线</w:t>
      </w:r>
      <w:r>
        <w:rPr>
          <w:rFonts w:hint="default" w:ascii="Times New Roman" w:hAnsi="Times New Roman" w:cs="Times New Roman"/>
          <w:lang w:val="en-US" w:eastAsia="zh-CN"/>
        </w:rPr>
        <w:t>3830</w:t>
      </w:r>
      <w:r>
        <w:rPr>
          <w:rFonts w:hint="default" w:ascii="Times New Roman" w:hAnsi="Times New Roman" w:cs="Times New Roman"/>
        </w:rPr>
        <w:t>m，包含路基</w:t>
      </w:r>
      <w:r>
        <w:rPr>
          <w:rFonts w:hint="eastAsia" w:ascii="Times New Roman" w:hAnsi="Times New Roman" w:cs="Times New Roman"/>
          <w:lang w:eastAsia="zh-CN"/>
        </w:rPr>
        <w:t>、</w:t>
      </w:r>
      <w:r>
        <w:rPr>
          <w:rFonts w:hint="default" w:ascii="Times New Roman" w:hAnsi="Times New Roman" w:cs="Times New Roman"/>
        </w:rPr>
        <w:t>路面</w:t>
      </w:r>
      <w:r>
        <w:rPr>
          <w:rFonts w:hint="eastAsia" w:ascii="Times New Roman" w:hAnsi="Times New Roman" w:cs="Times New Roman"/>
          <w:lang w:eastAsia="zh-CN"/>
        </w:rPr>
        <w:t>、</w:t>
      </w:r>
      <w:r>
        <w:rPr>
          <w:rFonts w:hint="default" w:ascii="Times New Roman" w:hAnsi="Times New Roman" w:cs="Times New Roman"/>
        </w:rPr>
        <w:t>桥梁</w:t>
      </w:r>
      <w:r>
        <w:rPr>
          <w:rFonts w:hint="eastAsia" w:ascii="Times New Roman" w:hAnsi="Times New Roman" w:cs="Times New Roman"/>
          <w:lang w:eastAsia="zh-CN"/>
        </w:rPr>
        <w:t>、</w:t>
      </w:r>
      <w:r>
        <w:rPr>
          <w:rFonts w:hint="default" w:ascii="Times New Roman" w:hAnsi="Times New Roman" w:cs="Times New Roman"/>
        </w:rPr>
        <w:t>涵洞等主体工程；取弃土场</w:t>
      </w:r>
      <w:r>
        <w:rPr>
          <w:rFonts w:hint="eastAsia" w:ascii="Times New Roman" w:hAnsi="Times New Roman" w:cs="Times New Roman"/>
          <w:lang w:eastAsia="zh-CN"/>
        </w:rPr>
        <w:t>、</w:t>
      </w:r>
      <w:r>
        <w:rPr>
          <w:rFonts w:hint="default" w:ascii="Times New Roman" w:hAnsi="Times New Roman" w:cs="Times New Roman"/>
        </w:rPr>
        <w:t>施工场地</w:t>
      </w:r>
      <w:r>
        <w:rPr>
          <w:rFonts w:hint="eastAsia" w:ascii="Times New Roman" w:hAnsi="Times New Roman" w:cs="Times New Roman"/>
          <w:lang w:eastAsia="zh-CN"/>
        </w:rPr>
        <w:t>、</w:t>
      </w:r>
      <w:r>
        <w:rPr>
          <w:rFonts w:hint="default" w:ascii="Times New Roman" w:hAnsi="Times New Roman" w:cs="Times New Roman"/>
        </w:rPr>
        <w:t>施工便道等临时工程内容。</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firstLine="0"/>
        <w:textAlignment w:val="auto"/>
        <w:rPr>
          <w:rFonts w:hint="default" w:ascii="Times New Roman" w:hAnsi="Times New Roman" w:cs="Times New Roman"/>
          <w:sz w:val="24"/>
          <w:szCs w:val="24"/>
          <w:lang w:val="en-US" w:eastAsia="zh-CN"/>
        </w:rPr>
      </w:pPr>
      <w:bookmarkStart w:id="52" w:name="1.7.2.2环境要素评价范围"/>
      <w:bookmarkEnd w:id="52"/>
      <w:bookmarkStart w:id="53" w:name="1.7.2.2环境要素评价范围"/>
      <w:bookmarkEnd w:id="53"/>
      <w:r>
        <w:rPr>
          <w:rFonts w:hint="default" w:ascii="Times New Roman" w:hAnsi="Times New Roman" w:cs="Times New Roman"/>
          <w:sz w:val="24"/>
          <w:szCs w:val="24"/>
          <w:lang w:val="en-US" w:eastAsia="zh-CN"/>
        </w:rPr>
        <w:t>1.8.2.环境要素评价范围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根据《环境影响评价技术导则》有关要求和《公路建设项目环境影响评价规范》评价范围的划分原则，结合本项目现场踏勘调查实际情况，确定本项目各环境要素评价范围如下：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声环境：公路中心线两侧各200m以内的范围。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水环境：公路中心线两侧各200m以内的范围。跨地表水桥梁上游100m，下游1000m的范围。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环境空气：公路中心线两侧各200m以内的范围。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生态环境：评价范围为公路用地界及临时工程占地区外500m以内的区域，当有高陡山坡</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峭壁</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河流等形成的天然隔离地貌时，取这些隔离地物为界。</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firstLine="0"/>
        <w:textAlignment w:val="auto"/>
        <w:rPr>
          <w:rFonts w:hint="default" w:ascii="Times New Roman" w:hAnsi="Times New Roman" w:cs="Times New Roman"/>
          <w:sz w:val="24"/>
          <w:szCs w:val="24"/>
          <w:lang w:val="en-US" w:eastAsia="zh-CN"/>
        </w:rPr>
      </w:pPr>
      <w:bookmarkStart w:id="54" w:name="1.7.3 评价内容"/>
      <w:bookmarkEnd w:id="54"/>
      <w:bookmarkStart w:id="55" w:name="1.7.3 评价内容"/>
      <w:bookmarkEnd w:id="55"/>
      <w:r>
        <w:rPr>
          <w:rFonts w:hint="default" w:ascii="Times New Roman" w:hAnsi="Times New Roman" w:cs="Times New Roman"/>
          <w:sz w:val="24"/>
          <w:szCs w:val="24"/>
          <w:lang w:val="en-US" w:eastAsia="zh-CN"/>
        </w:rPr>
        <w:t>1.8.3.评价内容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根据本项目特点及对路线方案的外业踏勘</w:t>
      </w:r>
      <w:r>
        <w:rPr>
          <w:rFonts w:hint="eastAsia" w:ascii="Times New Roman" w:hAnsi="Times New Roman" w:cs="Times New Roman"/>
          <w:sz w:val="24"/>
          <w:szCs w:val="24"/>
          <w:lang w:eastAsia="zh-CN"/>
        </w:rPr>
        <w:t>、</w:t>
      </w:r>
      <w:r>
        <w:rPr>
          <w:rFonts w:hint="default" w:ascii="Times New Roman" w:hAnsi="Times New Roman" w:cs="Times New Roman"/>
          <w:sz w:val="24"/>
          <w:szCs w:val="24"/>
        </w:rPr>
        <w:t>调研成果，确定本工程环境影响评价工作的主要内容如下：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工程分析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根据主体工程前期工作研究成果，进行工程环境影响因素分析，并对施工期及营运期主要环境污染排放源强进行分析。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生态环境影响评价</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包括拟建项目对影响区域土地利用</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农业生态</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植被损失及恢复</w:t>
      </w:r>
      <w:r>
        <w:rPr>
          <w:rFonts w:hint="eastAsia" w:ascii="Times New Roman" w:hAnsi="Times New Roman" w:cs="Times New Roman"/>
          <w:sz w:val="24"/>
          <w:szCs w:val="24"/>
          <w:lang w:eastAsia="zh-CN"/>
        </w:rPr>
        <w:t>、</w:t>
      </w:r>
      <w:r>
        <w:rPr>
          <w:rFonts w:hint="default" w:ascii="Times New Roman" w:hAnsi="Times New Roman" w:cs="Times New Roman"/>
          <w:sz w:val="24"/>
          <w:szCs w:val="24"/>
        </w:rPr>
        <w:t>野生动植物保护</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区域景观生态</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固体废弃物处置</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水生生态</w:t>
      </w:r>
      <w:r>
        <w:rPr>
          <w:rFonts w:hint="eastAsia" w:ascii="Times New Roman" w:hAnsi="Times New Roman" w:cs="Times New Roman"/>
          <w:sz w:val="24"/>
          <w:szCs w:val="24"/>
          <w:lang w:eastAsia="zh-CN"/>
        </w:rPr>
        <w:t>、</w:t>
      </w:r>
      <w:r>
        <w:rPr>
          <w:rFonts w:hint="default" w:ascii="Times New Roman" w:hAnsi="Times New Roman" w:cs="Times New Roman"/>
          <w:sz w:val="24"/>
          <w:szCs w:val="24"/>
        </w:rPr>
        <w:t>鱼类生境的影响评价。</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rPr>
        <w:t>水环境影响评价</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项目沿线经过的河流为</w:t>
      </w:r>
      <w:r>
        <w:rPr>
          <w:rFonts w:hint="default" w:ascii="Times New Roman" w:hAnsi="Times New Roman" w:cs="Times New Roman"/>
          <w:sz w:val="24"/>
          <w:szCs w:val="24"/>
          <w:lang w:val="en-US" w:eastAsia="zh-CN"/>
        </w:rPr>
        <w:t>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cs="Times New Roman"/>
          <w:sz w:val="24"/>
          <w:szCs w:val="24"/>
        </w:rPr>
        <w:t>。根据类比预测结合水环境现状监测结果， 分析评价公路建设施工期生产和生活废水对沿线环境的影响，提出实践上可行</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操作性较强的水环境保护措施。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w:t>
      </w:r>
      <w:r>
        <w:rPr>
          <w:rFonts w:hint="default" w:ascii="Times New Roman" w:hAnsi="Times New Roman" w:cs="Times New Roman"/>
          <w:sz w:val="24"/>
          <w:szCs w:val="24"/>
        </w:rPr>
        <w:t>危险化学品运输事故环境风险分析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以路线跨越水体为重点，对危险化学品营运期运输风险进行分析，并提出风险事故的处置及应急计划。</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w:t>
      </w:r>
      <w:r>
        <w:rPr>
          <w:rFonts w:hint="default" w:ascii="Times New Roman" w:hAnsi="Times New Roman" w:cs="Times New Roman"/>
          <w:sz w:val="24"/>
          <w:szCs w:val="24"/>
        </w:rPr>
        <w:t>声环境影响评价</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在针对拟建公路声环境质量现状监测和评价的基础上，按相应规范和国家声环境质量标准的要求进行影响预测评价和对比分析，为施工期和营运期噪声治理和环境管理提供依据。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lang w:eastAsia="zh-CN"/>
        </w:rPr>
        <w:t>）</w:t>
      </w:r>
      <w:r>
        <w:rPr>
          <w:rFonts w:hint="default" w:ascii="Times New Roman" w:hAnsi="Times New Roman" w:cs="Times New Roman"/>
          <w:sz w:val="24"/>
          <w:szCs w:val="24"/>
        </w:rPr>
        <w:t>环境空气影响评价</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在对拟建公路沿线环境空气质量现状调查评价的基础上，按相关规范和国家环境空气质量标准的要求类比分析汽车尾气对沿线环境空气质量的影响范围和程度，为环境管理提供依据。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lang w:eastAsia="zh-CN"/>
        </w:rPr>
        <w:t>）</w:t>
      </w:r>
      <w:r>
        <w:rPr>
          <w:rFonts w:hint="default" w:ascii="Times New Roman" w:hAnsi="Times New Roman" w:cs="Times New Roman"/>
          <w:sz w:val="24"/>
          <w:szCs w:val="24"/>
        </w:rPr>
        <w:t>路线比选方案环境影响分析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主要从生态环境</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水环境</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声环境</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社会环境的关系等环境保护因子方面进行综合分析推荐方案和比较方案对环境的影响，结合工程方面提出综合比选意见。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lang w:eastAsia="zh-CN"/>
        </w:rPr>
        <w:t>）</w:t>
      </w:r>
      <w:r>
        <w:rPr>
          <w:rFonts w:hint="default" w:ascii="Times New Roman" w:hAnsi="Times New Roman" w:cs="Times New Roman"/>
          <w:sz w:val="24"/>
          <w:szCs w:val="24"/>
        </w:rPr>
        <w:t>环境保护措施及技术经济论证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lang w:eastAsia="zh-CN"/>
        </w:rPr>
        <w:t>）</w:t>
      </w:r>
      <w:r>
        <w:rPr>
          <w:rFonts w:hint="default" w:ascii="Times New Roman" w:hAnsi="Times New Roman" w:cs="Times New Roman"/>
          <w:sz w:val="24"/>
          <w:szCs w:val="24"/>
        </w:rPr>
        <w:t>环境经济损益分析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10</w:t>
      </w:r>
      <w:r>
        <w:rPr>
          <w:rFonts w:hint="default" w:ascii="Times New Roman" w:hAnsi="Times New Roman" w:cs="Times New Roman"/>
          <w:sz w:val="24"/>
          <w:szCs w:val="24"/>
          <w:lang w:eastAsia="zh-CN"/>
        </w:rPr>
        <w:t>）</w:t>
      </w:r>
      <w:r>
        <w:rPr>
          <w:rFonts w:hint="default" w:ascii="Times New Roman" w:hAnsi="Times New Roman" w:cs="Times New Roman"/>
          <w:sz w:val="24"/>
          <w:szCs w:val="24"/>
        </w:rPr>
        <w:t>环境保护管理计划</w:t>
      </w:r>
    </w:p>
    <w:p>
      <w:pPr>
        <w:pStyle w:val="4"/>
        <w:bidi w:val="0"/>
        <w:rPr>
          <w:rFonts w:hint="default" w:ascii="Times New Roman" w:hAnsi="Times New Roman" w:cs="Times New Roman"/>
          <w:lang w:val="en-US" w:eastAsia="zh-CN"/>
        </w:rPr>
      </w:pPr>
      <w:bookmarkStart w:id="56" w:name="1.7.4 评价重点"/>
      <w:bookmarkEnd w:id="56"/>
      <w:bookmarkStart w:id="57" w:name="1.7.4 评价重点"/>
      <w:bookmarkEnd w:id="57"/>
      <w:bookmarkStart w:id="58" w:name="_Toc30605"/>
      <w:r>
        <w:rPr>
          <w:rFonts w:hint="default" w:ascii="Times New Roman" w:hAnsi="Times New Roman" w:cs="Times New Roman"/>
          <w:lang w:val="en-US" w:eastAsia="zh-CN"/>
        </w:rPr>
        <w:t>1.9.评价原则与方法</w:t>
      </w:r>
      <w:bookmarkEnd w:id="58"/>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根据“以点为主，点线结合，反馈全线”的原则，现状评价采用现场调查</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现场监测和统计分析等方法，预测评价采用模式计算和类比分析等方法。声环境评价主要采用模式计算方法进行评价，水环境评价采用类比分析法进行评价，环境空气评价采用类比分析方法进行评价，对危险品运输风险采用经验公式计算法进行预测评价，对生态环境采取资料收集</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现场调研等方法进行现状评价和预测分析。</w:t>
      </w:r>
    </w:p>
    <w:p>
      <w:pPr>
        <w:pStyle w:val="4"/>
        <w:keepNext/>
        <w:keepLines/>
        <w:pageBreakBefore w:val="0"/>
        <w:widowControl w:val="0"/>
        <w:kinsoku/>
        <w:wordWrap/>
        <w:overflowPunct/>
        <w:topLinePunct w:val="0"/>
        <w:autoSpaceDE w:val="0"/>
        <w:autoSpaceDN w:val="0"/>
        <w:bidi w:val="0"/>
        <w:adjustRightInd/>
        <w:snapToGrid/>
        <w:spacing w:before="0" w:after="0" w:line="360" w:lineRule="auto"/>
        <w:textAlignment w:val="auto"/>
        <w:rPr>
          <w:rFonts w:hint="default" w:ascii="Times New Roman" w:hAnsi="Times New Roman" w:cs="Times New Roman" w:eastAsiaTheme="minorEastAsia"/>
          <w:b/>
          <w:sz w:val="24"/>
          <w:szCs w:val="24"/>
          <w:lang w:val="en-US" w:eastAsia="zh-CN"/>
        </w:rPr>
      </w:pPr>
      <w:bookmarkStart w:id="59" w:name="_Toc29132"/>
      <w:r>
        <w:rPr>
          <w:rFonts w:hint="default" w:ascii="Times New Roman" w:hAnsi="Times New Roman" w:cs="Times New Roman" w:eastAsiaTheme="minorEastAsia"/>
          <w:b/>
          <w:sz w:val="24"/>
          <w:szCs w:val="24"/>
          <w:lang w:val="en-US" w:eastAsia="zh-CN"/>
        </w:rPr>
        <w:t>1.10.评价重点</w:t>
      </w:r>
      <w:bookmarkEnd w:id="59"/>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根据对项目现场踏勘调查，识别环境影响因素与筛选评价因子，确定本项目的评价重点包括生态环境</w:t>
      </w:r>
      <w:r>
        <w:rPr>
          <w:rFonts w:hint="eastAsia" w:ascii="Times New Roman" w:hAnsi="Times New Roman" w:cs="Times New Roman"/>
          <w:lang w:eastAsia="zh-CN"/>
        </w:rPr>
        <w:t>、</w:t>
      </w:r>
      <w:r>
        <w:rPr>
          <w:rFonts w:hint="default" w:ascii="Times New Roman" w:hAnsi="Times New Roman" w:cs="Times New Roman"/>
        </w:rPr>
        <w:t>地表水环境</w:t>
      </w:r>
      <w:r>
        <w:rPr>
          <w:rFonts w:hint="eastAsia" w:ascii="Times New Roman" w:hAnsi="Times New Roman" w:cs="Times New Roman"/>
          <w:lang w:eastAsia="zh-CN"/>
        </w:rPr>
        <w:t>、</w:t>
      </w:r>
      <w:r>
        <w:rPr>
          <w:rFonts w:hint="default" w:ascii="Times New Roman" w:hAnsi="Times New Roman" w:cs="Times New Roman"/>
        </w:rPr>
        <w:t>声环境环境影响评价，具体为：</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生态环境重点评价项目建设对沿线自然生态的影响，包括土地占用</w:t>
      </w:r>
      <w:r>
        <w:rPr>
          <w:rFonts w:hint="eastAsia" w:ascii="Times New Roman" w:hAnsi="Times New Roman" w:cs="Times New Roman"/>
          <w:lang w:eastAsia="zh-CN"/>
        </w:rPr>
        <w:t>、</w:t>
      </w:r>
      <w:r>
        <w:rPr>
          <w:rFonts w:hint="default" w:ascii="Times New Roman" w:hAnsi="Times New Roman" w:cs="Times New Roman"/>
        </w:rPr>
        <w:t>临时工程的合理设置要求及动植物保护措施及生态恢复措施。</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地表水环境重点为评价项目施工期及营运期对</w:t>
      </w:r>
      <w:r>
        <w:rPr>
          <w:rFonts w:hint="default" w:ascii="Times New Roman" w:hAnsi="Times New Roman" w:cs="Times New Roman"/>
          <w:lang w:val="en-US" w:eastAsia="zh-CN"/>
        </w:rPr>
        <w:t>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cs="Times New Roman"/>
          <w:lang w:val="en-US" w:eastAsia="zh-CN"/>
        </w:rPr>
        <w:t>的影响</w:t>
      </w:r>
      <w:r>
        <w:rPr>
          <w:rFonts w:hint="default" w:ascii="Times New Roman" w:hAnsi="Times New Roman" w:cs="Times New Roman"/>
        </w:rPr>
        <w:t>，采取的</w:t>
      </w:r>
      <w:r>
        <w:rPr>
          <w:rFonts w:hint="default" w:ascii="Times New Roman" w:hAnsi="Times New Roman" w:cs="Times New Roman"/>
          <w:lang w:val="en-US" w:eastAsia="zh-CN"/>
        </w:rPr>
        <w:t>地表水</w:t>
      </w:r>
      <w:r>
        <w:rPr>
          <w:rFonts w:hint="default" w:ascii="Times New Roman" w:hAnsi="Times New Roman" w:cs="Times New Roman"/>
        </w:rPr>
        <w:t>保护措施等。</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声环境重点是营运期公路交通噪声对沿线重要敏感点的影响，包括预测影响范围</w:t>
      </w:r>
      <w:r>
        <w:rPr>
          <w:rFonts w:hint="eastAsia" w:ascii="Times New Roman" w:hAnsi="Times New Roman" w:cs="Times New Roman"/>
          <w:lang w:eastAsia="zh-CN"/>
        </w:rPr>
        <w:t>、</w:t>
      </w:r>
      <w:r>
        <w:rPr>
          <w:rFonts w:hint="default" w:ascii="Times New Roman" w:hAnsi="Times New Roman" w:cs="Times New Roman"/>
        </w:rPr>
        <w:t>程度，采取的环境保护措施等。</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施工期污染防治将重点对公路涉及主要地表水体保护等进行论述，并就施工期</w:t>
      </w:r>
      <w:r>
        <w:rPr>
          <w:rFonts w:hint="eastAsia" w:ascii="Times New Roman" w:hAnsi="Times New Roman" w:cs="Times New Roman"/>
          <w:color w:val="auto"/>
          <w:lang w:eastAsia="zh-CN"/>
        </w:rPr>
        <w:t>、</w:t>
      </w:r>
      <w:r>
        <w:rPr>
          <w:rFonts w:hint="default" w:ascii="Times New Roman" w:hAnsi="Times New Roman" w:cs="Times New Roman"/>
          <w:color w:val="auto"/>
        </w:rPr>
        <w:t>营运期污水非正常排放对附近水体可能产生的影响范围和程度进行分析，提出相应防治措施。</w:t>
      </w:r>
    </w:p>
    <w:p>
      <w:pPr>
        <w:pStyle w:val="4"/>
        <w:bidi w:val="0"/>
        <w:rPr>
          <w:rFonts w:hint="default" w:ascii="Times New Roman" w:hAnsi="Times New Roman" w:cs="Times New Roman"/>
          <w:lang w:val="en-US" w:eastAsia="zh-CN"/>
        </w:rPr>
      </w:pPr>
      <w:bookmarkStart w:id="60" w:name="_Toc20777"/>
      <w:r>
        <w:rPr>
          <w:rFonts w:hint="default" w:ascii="Times New Roman" w:hAnsi="Times New Roman" w:cs="Times New Roman"/>
          <w:lang w:val="en-US" w:eastAsia="zh-CN"/>
        </w:rPr>
        <w:t>1.10.环境保护目标</w:t>
      </w:r>
      <w:bookmarkEnd w:id="60"/>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firstLine="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1.10.1.环境空气及声环境保护目标</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lang w:eastAsia="zh-CN"/>
        </w:rPr>
      </w:pPr>
      <w:r>
        <w:rPr>
          <w:rFonts w:hint="default" w:ascii="Times New Roman" w:hAnsi="Times New Roman" w:cs="Times New Roman"/>
        </w:rPr>
        <w:t>本项目</w:t>
      </w:r>
      <w:r>
        <w:rPr>
          <w:rFonts w:hint="default" w:ascii="Times New Roman" w:hAnsi="Times New Roman" w:cs="Times New Roman"/>
          <w:lang w:val="en-US" w:eastAsia="zh-CN"/>
        </w:rPr>
        <w:t>位于渠县临巴镇</w:t>
      </w:r>
      <w:r>
        <w:rPr>
          <w:rFonts w:hint="default" w:ascii="Times New Roman" w:hAnsi="Times New Roman" w:cs="Times New Roman"/>
        </w:rPr>
        <w:t>，所经区域均为浅丘区，沿线人口较为密集。经现场踏勘调查，本项目路线中心线两侧各 200m 范围内受影响的声环境和环境空气保护目标有</w:t>
      </w:r>
      <w:r>
        <w:rPr>
          <w:rFonts w:hint="default" w:ascii="Times New Roman" w:hAnsi="Times New Roman" w:cs="Times New Roman"/>
          <w:lang w:val="en-US" w:eastAsia="zh-CN"/>
        </w:rPr>
        <w:t>6</w:t>
      </w:r>
      <w:r>
        <w:rPr>
          <w:rFonts w:hint="default" w:ascii="Times New Roman" w:hAnsi="Times New Roman" w:cs="Times New Roman"/>
        </w:rPr>
        <w:t>处，</w:t>
      </w:r>
      <w:r>
        <w:rPr>
          <w:rFonts w:hint="default" w:ascii="Times New Roman" w:hAnsi="Times New Roman" w:cs="Times New Roman"/>
          <w:lang w:val="en-US" w:eastAsia="zh-CN"/>
        </w:rPr>
        <w:t>均为</w:t>
      </w:r>
      <w:r>
        <w:rPr>
          <w:rFonts w:hint="default" w:ascii="Times New Roman" w:hAnsi="Times New Roman" w:cs="Times New Roman"/>
        </w:rPr>
        <w:t>一般居民点，</w:t>
      </w:r>
      <w:r>
        <w:rPr>
          <w:rFonts w:hint="default" w:ascii="Times New Roman" w:hAnsi="Times New Roman" w:cs="Times New Roman"/>
          <w:lang w:val="en-US" w:eastAsia="zh-CN"/>
        </w:rPr>
        <w:t>约208户，</w:t>
      </w:r>
      <w:r>
        <w:rPr>
          <w:rFonts w:hint="default" w:ascii="Times New Roman" w:hAnsi="Times New Roman" w:cs="Times New Roman"/>
        </w:rPr>
        <w:t>沿线环境空气及声敏感目标分布情况见表 1.</w:t>
      </w:r>
      <w:r>
        <w:rPr>
          <w:rFonts w:hint="default" w:ascii="Times New Roman" w:hAnsi="Times New Roman" w:cs="Times New Roman"/>
          <w:lang w:val="en-US" w:eastAsia="zh-CN"/>
        </w:rPr>
        <w:t>10</w:t>
      </w:r>
      <w:r>
        <w:rPr>
          <w:rFonts w:hint="default" w:ascii="Times New Roman" w:hAnsi="Times New Roman" w:cs="Times New Roman"/>
        </w:rPr>
        <w:t>-1</w:t>
      </w:r>
      <w:r>
        <w:rPr>
          <w:rFonts w:hint="default" w:ascii="Times New Roman" w:hAnsi="Times New Roman" w:cs="Times New Roman"/>
          <w:lang w:eastAsia="zh-CN"/>
        </w:rPr>
        <w:t>。</w:t>
      </w:r>
    </w:p>
    <w:p>
      <w:pPr>
        <w:numPr>
          <w:ilvl w:val="-1"/>
          <w:numId w:val="0"/>
        </w:numPr>
        <w:tabs>
          <w:tab w:val="left" w:pos="0"/>
        </w:tabs>
        <w:autoSpaceDE w:val="0"/>
        <w:autoSpaceDN w:val="0"/>
        <w:adjustRightInd w:val="0"/>
        <w:jc w:val="center"/>
        <w:outlineLvl w:val="9"/>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表 1.</w:t>
      </w:r>
      <w:r>
        <w:rPr>
          <w:rFonts w:hint="default" w:ascii="Times New Roman" w:hAnsi="Times New Roman" w:cs="Times New Roman"/>
          <w:b/>
          <w:bCs/>
          <w:sz w:val="21"/>
          <w:szCs w:val="21"/>
          <w:lang w:val="en-US" w:eastAsia="zh-CN"/>
        </w:rPr>
        <w:t>10</w:t>
      </w:r>
      <w:r>
        <w:rPr>
          <w:rFonts w:hint="default" w:ascii="Times New Roman" w:hAnsi="Times New Roman" w:cs="Times New Roman"/>
          <w:b/>
          <w:bCs/>
          <w:sz w:val="21"/>
          <w:szCs w:val="21"/>
        </w:rPr>
        <w:t>-1</w:t>
      </w:r>
      <w:r>
        <w:rPr>
          <w:rFonts w:hint="default" w:ascii="Times New Roman" w:hAnsi="Times New Roman" w:cs="Times New Roman"/>
          <w:b/>
          <w:bCs/>
          <w:sz w:val="21"/>
          <w:szCs w:val="21"/>
          <w:lang w:val="en-US" w:eastAsia="zh-CN"/>
        </w:rPr>
        <w:t xml:space="preserve"> </w:t>
      </w:r>
      <w:r>
        <w:rPr>
          <w:rFonts w:hint="default" w:ascii="Times New Roman" w:hAnsi="Times New Roman" w:eastAsia="宋体" w:cs="Times New Roman"/>
          <w:b/>
          <w:bCs/>
          <w:kern w:val="0"/>
          <w:sz w:val="21"/>
          <w:szCs w:val="21"/>
          <w:highlight w:val="none"/>
        </w:rPr>
        <w:t>项目</w:t>
      </w:r>
      <w:r>
        <w:rPr>
          <w:rFonts w:hint="default" w:ascii="Times New Roman" w:hAnsi="Times New Roman" w:cs="Times New Roman"/>
          <w:b/>
          <w:bCs/>
          <w:sz w:val="21"/>
          <w:szCs w:val="21"/>
        </w:rPr>
        <w:t>环境空气及声敏感目标分布情况见表</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1"/>
        <w:gridCol w:w="955"/>
        <w:gridCol w:w="855"/>
        <w:gridCol w:w="1110"/>
        <w:gridCol w:w="999"/>
        <w:gridCol w:w="3141"/>
        <w:gridCol w:w="16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71"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保护</w:t>
            </w:r>
          </w:p>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因素</w:t>
            </w:r>
          </w:p>
        </w:tc>
        <w:tc>
          <w:tcPr>
            <w:tcW w:w="516"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保护目标</w:t>
            </w:r>
          </w:p>
        </w:tc>
        <w:tc>
          <w:tcPr>
            <w:tcW w:w="462"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方位</w:t>
            </w:r>
          </w:p>
        </w:tc>
        <w:tc>
          <w:tcPr>
            <w:tcW w:w="60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cs="Times New Roman"/>
                <w:b w:val="0"/>
                <w:bCs w:val="0"/>
                <w:sz w:val="21"/>
                <w:szCs w:val="21"/>
                <w:highlight w:val="none"/>
                <w:lang w:val="en-US" w:eastAsia="zh-CN"/>
              </w:rPr>
              <w:t>首排房屋</w:t>
            </w:r>
            <w:r>
              <w:rPr>
                <w:rFonts w:hint="default" w:ascii="Times New Roman" w:hAnsi="Times New Roman" w:eastAsia="宋体" w:cs="Times New Roman"/>
                <w:b w:val="0"/>
                <w:bCs w:val="0"/>
                <w:sz w:val="21"/>
                <w:szCs w:val="21"/>
                <w:highlight w:val="none"/>
              </w:rPr>
              <w:t>与中线/红线距离</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m</w:t>
            </w:r>
            <w:r>
              <w:rPr>
                <w:rFonts w:hint="eastAsia" w:ascii="Times New Roman" w:hAnsi="Times New Roman" w:cs="Times New Roman"/>
                <w:b w:val="0"/>
                <w:bCs w:val="0"/>
                <w:sz w:val="21"/>
                <w:szCs w:val="21"/>
                <w:highlight w:val="none"/>
                <w:lang w:eastAsia="zh-CN"/>
              </w:rPr>
              <w:t>）</w:t>
            </w:r>
          </w:p>
        </w:tc>
        <w:tc>
          <w:tcPr>
            <w:tcW w:w="54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规模/功能</w:t>
            </w:r>
          </w:p>
        </w:tc>
        <w:tc>
          <w:tcPr>
            <w:tcW w:w="1699"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现场照片</w:t>
            </w:r>
          </w:p>
        </w:tc>
        <w:tc>
          <w:tcPr>
            <w:tcW w:w="909"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8" w:hRule="atLeast"/>
          <w:jc w:val="center"/>
        </w:trPr>
        <w:tc>
          <w:tcPr>
            <w:tcW w:w="271" w:type="pct"/>
            <w:vMerge w:val="restar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声环境</w:t>
            </w:r>
            <w:r>
              <w:rPr>
                <w:rFonts w:hint="default" w:ascii="Times New Roman" w:hAnsi="Times New Roman" w:cs="Times New Roman"/>
                <w:b w:val="0"/>
                <w:bCs w:val="0"/>
                <w:sz w:val="21"/>
                <w:szCs w:val="21"/>
                <w:highlight w:val="none"/>
                <w:lang w:val="en-US" w:eastAsia="zh-CN"/>
              </w:rPr>
              <w:t>/大气环境</w:t>
            </w:r>
          </w:p>
        </w:tc>
        <w:tc>
          <w:tcPr>
            <w:tcW w:w="516"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临巴</w:t>
            </w:r>
            <w:r>
              <w:rPr>
                <w:rFonts w:hint="default" w:ascii="Times New Roman" w:hAnsi="Times New Roman" w:eastAsia="宋体" w:cs="Times New Roman"/>
                <w:b w:val="0"/>
                <w:bCs w:val="0"/>
                <w:sz w:val="21"/>
                <w:szCs w:val="21"/>
                <w:highlight w:val="none"/>
                <w:lang w:val="en-US" w:eastAsia="zh-CN"/>
              </w:rPr>
              <w:t>镇居民</w:t>
            </w:r>
          </w:p>
        </w:tc>
        <w:tc>
          <w:tcPr>
            <w:tcW w:w="46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东侧</w:t>
            </w:r>
          </w:p>
        </w:tc>
        <w:tc>
          <w:tcPr>
            <w:tcW w:w="600"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18/10</w:t>
            </w:r>
          </w:p>
        </w:tc>
        <w:tc>
          <w:tcPr>
            <w:tcW w:w="54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rPr>
            </w:pPr>
            <w:r>
              <w:rPr>
                <w:rFonts w:hint="default" w:ascii="Times New Roman" w:hAnsi="Times New Roman" w:eastAsia="宋体" w:cs="Times New Roman"/>
                <w:b w:val="0"/>
                <w:bCs w:val="0"/>
                <w:sz w:val="21"/>
                <w:szCs w:val="21"/>
                <w:highlight w:val="none"/>
                <w:lang w:val="en-US" w:eastAsia="zh-CN"/>
              </w:rPr>
              <w:t>12户/48人</w:t>
            </w:r>
          </w:p>
        </w:tc>
        <w:tc>
          <w:tcPr>
            <w:tcW w:w="1699"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drawing>
                <wp:inline distT="0" distB="0" distL="114300" distR="114300">
                  <wp:extent cx="1664335" cy="1510030"/>
                  <wp:effectExtent l="0" t="0" r="12065" b="13970"/>
                  <wp:docPr id="2" name="图片 2" descr="微信图片_20211126153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11261530331"/>
                          <pic:cNvPicPr>
                            <a:picLocks noChangeAspect="1"/>
                          </pic:cNvPicPr>
                        </pic:nvPicPr>
                        <pic:blipFill>
                          <a:blip r:embed="rId8"/>
                          <a:stretch>
                            <a:fillRect/>
                          </a:stretch>
                        </pic:blipFill>
                        <pic:spPr>
                          <a:xfrm>
                            <a:off x="0" y="0"/>
                            <a:ext cx="1664335" cy="1510030"/>
                          </a:xfrm>
                          <a:prstGeom prst="rect">
                            <a:avLst/>
                          </a:prstGeom>
                        </pic:spPr>
                      </pic:pic>
                    </a:graphicData>
                  </a:graphic>
                </wp:inline>
              </w:drawing>
            </w:r>
          </w:p>
        </w:tc>
        <w:tc>
          <w:tcPr>
            <w:tcW w:w="909" w:type="pct"/>
            <w:vMerge w:val="restar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《声环境质量标准》（GB3096-2008）中</w:t>
            </w:r>
            <w:r>
              <w:rPr>
                <w:rFonts w:hint="default" w:ascii="Times New Roman" w:hAnsi="Times New Roman" w:cs="Times New Roman"/>
                <w:b w:val="0"/>
                <w:bCs w:val="0"/>
                <w:sz w:val="21"/>
                <w:szCs w:val="21"/>
                <w:highlight w:val="none"/>
                <w:lang w:val="en-US" w:eastAsia="zh-CN"/>
              </w:rPr>
              <w:t>4a</w:t>
            </w:r>
            <w:r>
              <w:rPr>
                <w:rFonts w:hint="eastAsia" w:ascii="Times New Roman" w:hAnsi="Times New Roman" w:cs="Times New Roman"/>
                <w:b w:val="0"/>
                <w:bCs w:val="0"/>
                <w:sz w:val="21"/>
                <w:szCs w:val="21"/>
                <w:highlight w:val="none"/>
                <w:lang w:val="en-US" w:eastAsia="zh-CN"/>
              </w:rPr>
              <w:t>、</w:t>
            </w:r>
            <w:r>
              <w:rPr>
                <w:rFonts w:hint="default" w:ascii="Times New Roman" w:hAnsi="Times New Roman" w:eastAsia="宋体" w:cs="Times New Roman"/>
                <w:b w:val="0"/>
                <w:bCs w:val="0"/>
                <w:sz w:val="21"/>
                <w:szCs w:val="21"/>
                <w:highlight w:val="none"/>
              </w:rPr>
              <w:t>2类标准；</w:t>
            </w:r>
          </w:p>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rPr>
              <w:t>《环境空气质量标准》（GB3095-2012）二级标准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8" w:hRule="atLeast"/>
          <w:jc w:val="center"/>
        </w:trPr>
        <w:tc>
          <w:tcPr>
            <w:tcW w:w="271"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p>
        </w:tc>
        <w:tc>
          <w:tcPr>
            <w:tcW w:w="516" w:type="pct"/>
            <w:tcBorders>
              <w:lef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临巴</w:t>
            </w:r>
            <w:r>
              <w:rPr>
                <w:rFonts w:hint="default" w:ascii="Times New Roman" w:hAnsi="Times New Roman" w:eastAsia="宋体" w:cs="Times New Roman"/>
                <w:b w:val="0"/>
                <w:bCs w:val="0"/>
                <w:sz w:val="21"/>
                <w:szCs w:val="21"/>
                <w:highlight w:val="none"/>
                <w:lang w:val="en-US" w:eastAsia="zh-CN"/>
              </w:rPr>
              <w:t>镇居民</w:t>
            </w:r>
          </w:p>
        </w:tc>
        <w:tc>
          <w:tcPr>
            <w:tcW w:w="46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西侧</w:t>
            </w:r>
          </w:p>
        </w:tc>
        <w:tc>
          <w:tcPr>
            <w:tcW w:w="600"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val="en-US"/>
              </w:rPr>
            </w:pPr>
            <w:r>
              <w:rPr>
                <w:rFonts w:hint="default" w:ascii="Times New Roman" w:hAnsi="Times New Roman" w:eastAsia="宋体" w:cs="Times New Roman"/>
                <w:b w:val="0"/>
                <w:bCs w:val="0"/>
                <w:sz w:val="21"/>
                <w:szCs w:val="21"/>
                <w:highlight w:val="none"/>
                <w:lang w:val="en-US" w:eastAsia="zh-CN"/>
              </w:rPr>
              <w:t>38/30</w:t>
            </w:r>
          </w:p>
        </w:tc>
        <w:tc>
          <w:tcPr>
            <w:tcW w:w="54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100户/400人</w:t>
            </w:r>
          </w:p>
        </w:tc>
        <w:tc>
          <w:tcPr>
            <w:tcW w:w="1699"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eastAsia="zh-CN"/>
              </w:rPr>
              <w:drawing>
                <wp:inline distT="0" distB="0" distL="114300" distR="114300">
                  <wp:extent cx="1637665" cy="1368425"/>
                  <wp:effectExtent l="0" t="0" r="635" b="3175"/>
                  <wp:docPr id="1" name="图片 1" descr="微信图片_2021112615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1126153033"/>
                          <pic:cNvPicPr>
                            <a:picLocks noChangeAspect="1"/>
                          </pic:cNvPicPr>
                        </pic:nvPicPr>
                        <pic:blipFill>
                          <a:blip r:embed="rId9"/>
                          <a:stretch>
                            <a:fillRect/>
                          </a:stretch>
                        </pic:blipFill>
                        <pic:spPr>
                          <a:xfrm>
                            <a:off x="0" y="0"/>
                            <a:ext cx="1637665" cy="1368425"/>
                          </a:xfrm>
                          <a:prstGeom prst="rect">
                            <a:avLst/>
                          </a:prstGeom>
                        </pic:spPr>
                      </pic:pic>
                    </a:graphicData>
                  </a:graphic>
                </wp:inline>
              </w:drawing>
            </w:r>
          </w:p>
        </w:tc>
        <w:tc>
          <w:tcPr>
            <w:tcW w:w="909"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8" w:hRule="atLeast"/>
          <w:jc w:val="center"/>
        </w:trPr>
        <w:tc>
          <w:tcPr>
            <w:tcW w:w="271"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p>
        </w:tc>
        <w:tc>
          <w:tcPr>
            <w:tcW w:w="516" w:type="pct"/>
            <w:tcBorders>
              <w:lef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val="en-US"/>
              </w:rPr>
            </w:pPr>
            <w:r>
              <w:rPr>
                <w:rFonts w:hint="default" w:ascii="Times New Roman" w:hAnsi="Times New Roman" w:eastAsia="宋体" w:cs="Times New Roman"/>
                <w:b w:val="0"/>
                <w:bCs w:val="0"/>
                <w:sz w:val="21"/>
                <w:szCs w:val="21"/>
                <w:highlight w:val="none"/>
                <w:lang w:val="en-US" w:eastAsia="zh-CN"/>
              </w:rPr>
              <w:t>四合村居民</w:t>
            </w:r>
          </w:p>
        </w:tc>
        <w:tc>
          <w:tcPr>
            <w:tcW w:w="46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东侧</w:t>
            </w:r>
          </w:p>
        </w:tc>
        <w:tc>
          <w:tcPr>
            <w:tcW w:w="600"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13/5</w:t>
            </w:r>
          </w:p>
        </w:tc>
        <w:tc>
          <w:tcPr>
            <w:tcW w:w="54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26户/108人</w:t>
            </w:r>
          </w:p>
        </w:tc>
        <w:tc>
          <w:tcPr>
            <w:tcW w:w="1699"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drawing>
                <wp:inline distT="0" distB="0" distL="114300" distR="114300">
                  <wp:extent cx="1664335" cy="1541145"/>
                  <wp:effectExtent l="0" t="0" r="12065" b="1905"/>
                  <wp:docPr id="3" name="图片 3" descr="微信图片_202111261530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112615303312"/>
                          <pic:cNvPicPr>
                            <a:picLocks noChangeAspect="1"/>
                          </pic:cNvPicPr>
                        </pic:nvPicPr>
                        <pic:blipFill>
                          <a:blip r:embed="rId10"/>
                          <a:stretch>
                            <a:fillRect/>
                          </a:stretch>
                        </pic:blipFill>
                        <pic:spPr>
                          <a:xfrm>
                            <a:off x="0" y="0"/>
                            <a:ext cx="1664335" cy="1541145"/>
                          </a:xfrm>
                          <a:prstGeom prst="rect">
                            <a:avLst/>
                          </a:prstGeom>
                        </pic:spPr>
                      </pic:pic>
                    </a:graphicData>
                  </a:graphic>
                </wp:inline>
              </w:drawing>
            </w:r>
          </w:p>
        </w:tc>
        <w:tc>
          <w:tcPr>
            <w:tcW w:w="909"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8" w:hRule="atLeast"/>
          <w:jc w:val="center"/>
        </w:trPr>
        <w:tc>
          <w:tcPr>
            <w:tcW w:w="271"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rPr>
            </w:pPr>
          </w:p>
        </w:tc>
        <w:tc>
          <w:tcPr>
            <w:tcW w:w="516" w:type="pct"/>
            <w:tcBorders>
              <w:left w:val="single" w:color="auto" w:sz="4" w:space="0"/>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溪口村</w:t>
            </w:r>
          </w:p>
        </w:tc>
        <w:tc>
          <w:tcPr>
            <w:tcW w:w="46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东侧</w:t>
            </w:r>
          </w:p>
        </w:tc>
        <w:tc>
          <w:tcPr>
            <w:tcW w:w="60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100/92</w:t>
            </w:r>
          </w:p>
        </w:tc>
        <w:tc>
          <w:tcPr>
            <w:tcW w:w="54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20户80人</w:t>
            </w:r>
          </w:p>
        </w:tc>
        <w:tc>
          <w:tcPr>
            <w:tcW w:w="1699"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drawing>
                <wp:inline distT="0" distB="0" distL="114300" distR="114300">
                  <wp:extent cx="1664335" cy="1508760"/>
                  <wp:effectExtent l="0" t="0" r="12065" b="15240"/>
                  <wp:docPr id="4" name="图片 4" descr="微信图片_2021112615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1261530333"/>
                          <pic:cNvPicPr>
                            <a:picLocks noChangeAspect="1"/>
                          </pic:cNvPicPr>
                        </pic:nvPicPr>
                        <pic:blipFill>
                          <a:blip r:embed="rId11"/>
                          <a:stretch>
                            <a:fillRect/>
                          </a:stretch>
                        </pic:blipFill>
                        <pic:spPr>
                          <a:xfrm>
                            <a:off x="0" y="0"/>
                            <a:ext cx="1664335" cy="1508760"/>
                          </a:xfrm>
                          <a:prstGeom prst="rect">
                            <a:avLst/>
                          </a:prstGeom>
                        </pic:spPr>
                      </pic:pic>
                    </a:graphicData>
                  </a:graphic>
                </wp:inline>
              </w:drawing>
            </w:r>
          </w:p>
        </w:tc>
        <w:tc>
          <w:tcPr>
            <w:tcW w:w="909"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val="0"/>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8" w:hRule="atLeast"/>
          <w:jc w:val="center"/>
        </w:trPr>
        <w:tc>
          <w:tcPr>
            <w:tcW w:w="271"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val="0"/>
                <w:sz w:val="21"/>
                <w:szCs w:val="21"/>
                <w:highlight w:val="none"/>
                <w:lang w:val="en-US" w:eastAsia="zh-CN"/>
              </w:rPr>
            </w:pPr>
          </w:p>
        </w:tc>
        <w:tc>
          <w:tcPr>
            <w:tcW w:w="516" w:type="pct"/>
            <w:tcBorders>
              <w:left w:val="single" w:color="auto" w:sz="4" w:space="0"/>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溪口村</w:t>
            </w:r>
          </w:p>
        </w:tc>
        <w:tc>
          <w:tcPr>
            <w:tcW w:w="46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西侧</w:t>
            </w:r>
          </w:p>
        </w:tc>
        <w:tc>
          <w:tcPr>
            <w:tcW w:w="60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90/82</w:t>
            </w:r>
          </w:p>
        </w:tc>
        <w:tc>
          <w:tcPr>
            <w:tcW w:w="54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60户/280人</w:t>
            </w:r>
          </w:p>
        </w:tc>
        <w:tc>
          <w:tcPr>
            <w:tcW w:w="1699"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drawing>
                <wp:inline distT="0" distB="0" distL="114300" distR="114300">
                  <wp:extent cx="1664335" cy="1584325"/>
                  <wp:effectExtent l="0" t="0" r="12065" b="15875"/>
                  <wp:docPr id="7" name="图片 7" descr="微信图片_20211126153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1261530338"/>
                          <pic:cNvPicPr>
                            <a:picLocks noChangeAspect="1"/>
                          </pic:cNvPicPr>
                        </pic:nvPicPr>
                        <pic:blipFill>
                          <a:blip r:embed="rId12"/>
                          <a:stretch>
                            <a:fillRect/>
                          </a:stretch>
                        </pic:blipFill>
                        <pic:spPr>
                          <a:xfrm>
                            <a:off x="0" y="0"/>
                            <a:ext cx="1664335" cy="1584325"/>
                          </a:xfrm>
                          <a:prstGeom prst="rect">
                            <a:avLst/>
                          </a:prstGeom>
                        </pic:spPr>
                      </pic:pic>
                    </a:graphicData>
                  </a:graphic>
                </wp:inline>
              </w:drawing>
            </w:r>
          </w:p>
        </w:tc>
        <w:tc>
          <w:tcPr>
            <w:tcW w:w="909"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val="0"/>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8" w:hRule="atLeast"/>
          <w:jc w:val="center"/>
        </w:trPr>
        <w:tc>
          <w:tcPr>
            <w:tcW w:w="271"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val="0"/>
                <w:sz w:val="21"/>
                <w:szCs w:val="21"/>
                <w:highlight w:val="none"/>
                <w:lang w:val="en-US" w:eastAsia="zh-CN"/>
              </w:rPr>
            </w:pPr>
          </w:p>
        </w:tc>
        <w:tc>
          <w:tcPr>
            <w:tcW w:w="516" w:type="pct"/>
            <w:tcBorders>
              <w:left w:val="single" w:color="auto" w:sz="4" w:space="0"/>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福善村</w:t>
            </w:r>
          </w:p>
        </w:tc>
        <w:tc>
          <w:tcPr>
            <w:tcW w:w="46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西侧</w:t>
            </w:r>
          </w:p>
        </w:tc>
        <w:tc>
          <w:tcPr>
            <w:tcW w:w="60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68/79</w:t>
            </w:r>
          </w:p>
        </w:tc>
        <w:tc>
          <w:tcPr>
            <w:tcW w:w="540"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90户/270人</w:t>
            </w:r>
          </w:p>
        </w:tc>
        <w:tc>
          <w:tcPr>
            <w:tcW w:w="1699" w:type="pct"/>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drawing>
                <wp:inline distT="0" distB="0" distL="114300" distR="114300">
                  <wp:extent cx="1664335" cy="1583690"/>
                  <wp:effectExtent l="0" t="0" r="12065" b="16510"/>
                  <wp:docPr id="8" name="图片 8" descr="微信图片_202111261530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112615303310"/>
                          <pic:cNvPicPr>
                            <a:picLocks noChangeAspect="1"/>
                          </pic:cNvPicPr>
                        </pic:nvPicPr>
                        <pic:blipFill>
                          <a:blip r:embed="rId13"/>
                          <a:stretch>
                            <a:fillRect/>
                          </a:stretch>
                        </pic:blipFill>
                        <pic:spPr>
                          <a:xfrm>
                            <a:off x="0" y="0"/>
                            <a:ext cx="1664335" cy="1583690"/>
                          </a:xfrm>
                          <a:prstGeom prst="rect">
                            <a:avLst/>
                          </a:prstGeom>
                        </pic:spPr>
                      </pic:pic>
                    </a:graphicData>
                  </a:graphic>
                </wp:inline>
              </w:drawing>
            </w:r>
          </w:p>
        </w:tc>
        <w:tc>
          <w:tcPr>
            <w:tcW w:w="909" w:type="pct"/>
            <w:vMerge w:val="continue"/>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val="0"/>
                <w:sz w:val="21"/>
                <w:szCs w:val="21"/>
                <w:highlight w:val="none"/>
                <w:lang w:val="en-US" w:eastAsia="zh-CN"/>
              </w:rPr>
            </w:pPr>
          </w:p>
        </w:tc>
      </w:tr>
    </w:tbl>
    <w:p>
      <w:pPr>
        <w:bidi w:val="0"/>
        <w:rPr>
          <w:rFonts w:hint="default"/>
          <w:lang w:val="en-US" w:eastAsia="zh-CN"/>
        </w:rPr>
      </w:pP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firstLine="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1.10.2.水环境保护目标</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本项目评价范围具体涉及的地表水体</w:t>
      </w:r>
      <w:r>
        <w:rPr>
          <w:rFonts w:hint="default" w:ascii="Times New Roman" w:hAnsi="Times New Roman" w:cs="Times New Roman"/>
          <w:lang w:val="en-US" w:eastAsia="zh-CN"/>
        </w:rPr>
        <w:t>为渠江及渠江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cs="Times New Roman"/>
        </w:rPr>
        <w:t>，涉及水域均为Ⅲ类水域，水域功能包括农业灌溉</w:t>
      </w:r>
      <w:r>
        <w:rPr>
          <w:rFonts w:hint="eastAsia" w:ascii="Times New Roman" w:hAnsi="Times New Roman" w:cs="Times New Roman"/>
          <w:lang w:eastAsia="zh-CN"/>
        </w:rPr>
        <w:t>、</w:t>
      </w:r>
      <w:r>
        <w:rPr>
          <w:rFonts w:hint="default" w:ascii="Times New Roman" w:hAnsi="Times New Roman" w:cs="Times New Roman"/>
        </w:rPr>
        <w:t>鱼类生态用水</w:t>
      </w:r>
      <w:r>
        <w:rPr>
          <w:rFonts w:hint="eastAsia" w:ascii="Times New Roman" w:hAnsi="Times New Roman" w:cs="Times New Roman"/>
          <w:lang w:eastAsia="zh-CN"/>
        </w:rPr>
        <w:t>、</w:t>
      </w:r>
      <w:r>
        <w:rPr>
          <w:rFonts w:hint="default" w:ascii="Times New Roman" w:hAnsi="Times New Roman" w:cs="Times New Roman"/>
        </w:rPr>
        <w:t>行洪等。</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本项目共计</w:t>
      </w:r>
      <w:r>
        <w:rPr>
          <w:rFonts w:hint="default" w:ascii="Times New Roman" w:hAnsi="Times New Roman" w:cs="Times New Roman"/>
          <w:lang w:val="en-US" w:eastAsia="zh-CN"/>
        </w:rPr>
        <w:t>2</w:t>
      </w:r>
      <w:r>
        <w:rPr>
          <w:rFonts w:hint="default" w:ascii="Times New Roman" w:hAnsi="Times New Roman" w:cs="Times New Roman"/>
        </w:rPr>
        <w:t>座桥梁，</w:t>
      </w:r>
      <w:r>
        <w:rPr>
          <w:rFonts w:hint="default" w:ascii="Times New Roman" w:hAnsi="Times New Roman" w:cs="Times New Roman"/>
          <w:lang w:val="en-US" w:eastAsia="zh-CN"/>
        </w:rPr>
        <w:t>无</w:t>
      </w:r>
      <w:r>
        <w:rPr>
          <w:rFonts w:hint="default" w:ascii="Times New Roman" w:hAnsi="Times New Roman" w:cs="Times New Roman"/>
        </w:rPr>
        <w:t>涉水桥墩，本项目沿线主要地表水环境保护目标见表 1.</w:t>
      </w:r>
      <w:r>
        <w:rPr>
          <w:rFonts w:hint="default" w:ascii="Times New Roman" w:hAnsi="Times New Roman" w:cs="Times New Roman"/>
          <w:lang w:val="en-US" w:eastAsia="zh-CN"/>
        </w:rPr>
        <w:t>10</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所示。</w:t>
      </w:r>
    </w:p>
    <w:p>
      <w:pPr>
        <w:pStyle w:val="2"/>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表 1.</w:t>
      </w:r>
      <w:r>
        <w:rPr>
          <w:rFonts w:hint="default" w:ascii="Times New Roman" w:hAnsi="Times New Roman" w:cs="Times New Roman"/>
          <w:b/>
          <w:bCs/>
          <w:sz w:val="21"/>
          <w:szCs w:val="21"/>
          <w:lang w:val="en-US" w:eastAsia="zh-CN"/>
        </w:rPr>
        <w:t>10</w:t>
      </w:r>
      <w:r>
        <w:rPr>
          <w:rFonts w:hint="default" w:ascii="Times New Roman" w:hAnsi="Times New Roman" w:cs="Times New Roman"/>
          <w:b/>
          <w:bCs/>
          <w:sz w:val="21"/>
          <w:szCs w:val="21"/>
        </w:rPr>
        <w:t>-</w:t>
      </w:r>
      <w:r>
        <w:rPr>
          <w:rFonts w:hint="default" w:ascii="Times New Roman" w:hAnsi="Times New Roman" w:cs="Times New Roman"/>
          <w:b/>
          <w:bCs/>
          <w:sz w:val="21"/>
          <w:szCs w:val="21"/>
          <w:lang w:val="en-US" w:eastAsia="zh-CN"/>
        </w:rPr>
        <w:t xml:space="preserve">2 </w:t>
      </w:r>
      <w:r>
        <w:rPr>
          <w:rFonts w:hint="default" w:ascii="Times New Roman" w:hAnsi="Times New Roman" w:cs="Times New Roman"/>
          <w:b/>
          <w:bCs/>
          <w:sz w:val="21"/>
          <w:szCs w:val="21"/>
        </w:rPr>
        <w:t>项目沿线地表水环境保护目标</w:t>
      </w:r>
      <w:r>
        <w:rPr>
          <w:rFonts w:hint="default" w:ascii="Times New Roman" w:hAnsi="Times New Roman" w:cs="Times New Roman"/>
          <w:b/>
          <w:bCs/>
          <w:sz w:val="21"/>
          <w:szCs w:val="21"/>
          <w:lang w:val="en-US" w:eastAsia="zh-CN"/>
        </w:rPr>
        <w:t>表</w:t>
      </w:r>
    </w:p>
    <w:tbl>
      <w:tblPr>
        <w:tblStyle w:val="17"/>
        <w:tblW w:w="475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611"/>
        <w:gridCol w:w="717"/>
        <w:gridCol w:w="1505"/>
        <w:gridCol w:w="1506"/>
        <w:gridCol w:w="1830"/>
        <w:gridCol w:w="2878"/>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534" w:type="dxa"/>
            <w:tcBorders>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627" w:type="dxa"/>
            <w:tcBorders>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pacing w:val="1"/>
                <w:sz w:val="21"/>
                <w:szCs w:val="21"/>
              </w:rPr>
              <w:t>水 体名称</w:t>
            </w:r>
          </w:p>
        </w:tc>
        <w:tc>
          <w:tcPr>
            <w:tcW w:w="1315" w:type="dxa"/>
            <w:tcBorders>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桩号与路线位置关系</w:t>
            </w:r>
          </w:p>
        </w:tc>
        <w:tc>
          <w:tcPr>
            <w:tcW w:w="1316" w:type="dxa"/>
            <w:tcBorders>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环境概况</w:t>
            </w:r>
          </w:p>
        </w:tc>
        <w:tc>
          <w:tcPr>
            <w:tcW w:w="1600" w:type="dxa"/>
            <w:tcBorders>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涉水情况</w:t>
            </w:r>
          </w:p>
        </w:tc>
        <w:tc>
          <w:tcPr>
            <w:tcW w:w="2517" w:type="dxa"/>
            <w:tcBorders>
              <w:left w:val="single" w:color="000000" w:sz="2" w:space="0"/>
              <w:bottom w:val="single" w:color="000000" w:sz="8"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环境现状图</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154" w:hRule="atLeast"/>
          <w:jc w:val="center"/>
        </w:trPr>
        <w:tc>
          <w:tcPr>
            <w:tcW w:w="534" w:type="dxa"/>
            <w:tcBorders>
              <w:top w:val="single" w:color="000000" w:sz="8"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627" w:type="dxa"/>
            <w:tcBorders>
              <w:top w:val="single" w:color="000000" w:sz="8" w:space="0"/>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9"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渠江</w:t>
            </w:r>
            <w:r>
              <w:rPr>
                <w:rFonts w:hint="eastAsia" w:ascii="Times New Roman" w:hAnsi="Times New Roman" w:eastAsia="宋体" w:cs="Times New Roman"/>
                <w:sz w:val="21"/>
                <w:szCs w:val="21"/>
                <w:lang w:val="en-US" w:eastAsia="zh-CN"/>
              </w:rPr>
              <w:t>一级支流知县坝河四</w:t>
            </w:r>
          </w:p>
        </w:tc>
        <w:tc>
          <w:tcPr>
            <w:tcW w:w="1315" w:type="dxa"/>
            <w:tcBorders>
              <w:top w:val="single" w:color="000000" w:sz="8" w:space="0"/>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K</w:t>
            </w:r>
            <w:r>
              <w:rPr>
                <w:rFonts w:hint="default" w:ascii="Times New Roman" w:hAnsi="Times New Roman" w:eastAsia="宋体" w:cs="Times New Roman"/>
                <w:sz w:val="21"/>
                <w:szCs w:val="21"/>
                <w:lang w:val="en-US" w:eastAsia="zh-CN"/>
              </w:rPr>
              <w:t>2</w:t>
            </w:r>
            <w:r>
              <w:rPr>
                <w:rFonts w:hint="default" w:ascii="Times New Roman" w:hAnsi="Times New Roman" w:cs="Times New Roman"/>
                <w:sz w:val="21"/>
                <w:szCs w:val="21"/>
              </w:rPr>
              <w:t>+</w:t>
            </w:r>
            <w:r>
              <w:rPr>
                <w:rFonts w:hint="default" w:ascii="Times New Roman" w:hAnsi="Times New Roman" w:eastAsia="宋体" w:cs="Times New Roman"/>
                <w:sz w:val="21"/>
                <w:szCs w:val="21"/>
                <w:lang w:val="en-US" w:eastAsia="zh-CN"/>
              </w:rPr>
              <w:t>925四合大桥</w:t>
            </w:r>
          </w:p>
        </w:tc>
        <w:tc>
          <w:tcPr>
            <w:tcW w:w="1316" w:type="dxa"/>
            <w:tcBorders>
              <w:top w:val="single" w:color="000000" w:sz="8" w:space="0"/>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Ⅲ类水体，河宽</w:t>
            </w:r>
          </w:p>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w:t>
            </w:r>
            <w:r>
              <w:rPr>
                <w:rFonts w:hint="default" w:ascii="Times New Roman" w:hAnsi="Times New Roman" w:cs="Times New Roman"/>
                <w:sz w:val="21"/>
                <w:szCs w:val="21"/>
              </w:rPr>
              <w:t xml:space="preserve">m </w:t>
            </w:r>
            <w:r>
              <w:rPr>
                <w:rFonts w:hint="default" w:ascii="Times New Roman" w:hAnsi="Times New Roman" w:eastAsia="宋体" w:cs="Times New Roman"/>
                <w:sz w:val="21"/>
                <w:szCs w:val="21"/>
              </w:rPr>
              <w:t>左右</w:t>
            </w:r>
          </w:p>
        </w:tc>
        <w:tc>
          <w:tcPr>
            <w:tcW w:w="1600" w:type="dxa"/>
            <w:tcBorders>
              <w:top w:val="single" w:color="000000" w:sz="8" w:space="0"/>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9" w:lineRule="auto"/>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桥梁跨径4×25，桥墩不涉水</w:t>
            </w:r>
          </w:p>
        </w:tc>
        <w:tc>
          <w:tcPr>
            <w:tcW w:w="2517" w:type="dxa"/>
            <w:tcBorders>
              <w:top w:val="single" w:color="000000" w:sz="8" w:space="0"/>
              <w:left w:val="single" w:color="000000" w:sz="2" w:space="0"/>
              <w:bottom w:val="single" w:color="000000" w:sz="8"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1450340" cy="1563370"/>
                  <wp:effectExtent l="0" t="0" r="16510" b="17780"/>
                  <wp:docPr id="9" name="图片 9" descr="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桥1"/>
                          <pic:cNvPicPr>
                            <a:picLocks noChangeAspect="1"/>
                          </pic:cNvPicPr>
                        </pic:nvPicPr>
                        <pic:blipFill>
                          <a:blip r:embed="rId14"/>
                          <a:stretch>
                            <a:fillRect/>
                          </a:stretch>
                        </pic:blipFill>
                        <pic:spPr>
                          <a:xfrm>
                            <a:off x="0" y="0"/>
                            <a:ext cx="1450340" cy="15633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154" w:hRule="atLeast"/>
          <w:jc w:val="center"/>
        </w:trPr>
        <w:tc>
          <w:tcPr>
            <w:tcW w:w="534" w:type="dxa"/>
            <w:tcBorders>
              <w:top w:val="single" w:color="000000" w:sz="8"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627" w:type="dxa"/>
            <w:tcBorders>
              <w:top w:val="single" w:color="000000" w:sz="8" w:space="0"/>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9"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渠江</w:t>
            </w:r>
            <w:r>
              <w:rPr>
                <w:rFonts w:hint="eastAsia" w:ascii="Times New Roman" w:hAnsi="Times New Roman" w:eastAsia="宋体" w:cs="Times New Roman"/>
                <w:sz w:val="21"/>
                <w:szCs w:val="21"/>
                <w:lang w:val="en-US" w:eastAsia="zh-CN"/>
              </w:rPr>
              <w:t>二级</w:t>
            </w:r>
            <w:r>
              <w:rPr>
                <w:rFonts w:hint="default" w:ascii="Times New Roman" w:hAnsi="Times New Roman" w:eastAsia="宋体" w:cs="Times New Roman"/>
                <w:sz w:val="21"/>
                <w:szCs w:val="21"/>
                <w:lang w:val="en-US" w:eastAsia="zh-CN"/>
              </w:rPr>
              <w:t>支流</w:t>
            </w:r>
            <w:r>
              <w:rPr>
                <w:rFonts w:hint="eastAsia" w:ascii="Times New Roman" w:hAnsi="Times New Roman" w:eastAsia="宋体" w:cs="Times New Roman"/>
                <w:sz w:val="21"/>
                <w:szCs w:val="21"/>
                <w:lang w:val="en-US" w:eastAsia="zh-CN"/>
              </w:rPr>
              <w:t>四合溪</w:t>
            </w:r>
          </w:p>
        </w:tc>
        <w:tc>
          <w:tcPr>
            <w:tcW w:w="1315" w:type="dxa"/>
            <w:tcBorders>
              <w:top w:val="single" w:color="000000" w:sz="8" w:space="0"/>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K</w:t>
            </w:r>
            <w:r>
              <w:rPr>
                <w:rFonts w:hint="default" w:ascii="Times New Roman" w:hAnsi="Times New Roman" w:eastAsia="宋体" w:cs="Times New Roman"/>
                <w:sz w:val="21"/>
                <w:szCs w:val="21"/>
                <w:lang w:val="en-US" w:eastAsia="zh-CN"/>
              </w:rPr>
              <w:t>3</w:t>
            </w:r>
            <w:r>
              <w:rPr>
                <w:rFonts w:hint="default" w:ascii="Times New Roman" w:hAnsi="Times New Roman" w:cs="Times New Roman"/>
                <w:sz w:val="21"/>
                <w:szCs w:val="21"/>
              </w:rPr>
              <w:t>+</w:t>
            </w:r>
            <w:r>
              <w:rPr>
                <w:rFonts w:hint="default" w:ascii="Times New Roman" w:hAnsi="Times New Roman" w:eastAsia="宋体" w:cs="Times New Roman"/>
                <w:sz w:val="21"/>
                <w:szCs w:val="21"/>
                <w:lang w:val="en-US" w:eastAsia="zh-CN"/>
              </w:rPr>
              <w:t>791.5临巴中桥</w:t>
            </w:r>
          </w:p>
        </w:tc>
        <w:tc>
          <w:tcPr>
            <w:tcW w:w="1316" w:type="dxa"/>
            <w:tcBorders>
              <w:top w:val="single" w:color="000000" w:sz="8" w:space="0"/>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Ⅲ类水体，河宽</w:t>
            </w:r>
          </w:p>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r>
              <w:rPr>
                <w:rFonts w:hint="default" w:ascii="Times New Roman" w:hAnsi="Times New Roman" w:cs="Times New Roman"/>
                <w:sz w:val="21"/>
                <w:szCs w:val="21"/>
              </w:rPr>
              <w:t xml:space="preserve">m </w:t>
            </w:r>
            <w:r>
              <w:rPr>
                <w:rFonts w:hint="default" w:ascii="Times New Roman" w:hAnsi="Times New Roman" w:eastAsia="宋体" w:cs="Times New Roman"/>
                <w:sz w:val="21"/>
                <w:szCs w:val="21"/>
              </w:rPr>
              <w:t>左右</w:t>
            </w:r>
          </w:p>
        </w:tc>
        <w:tc>
          <w:tcPr>
            <w:tcW w:w="1600" w:type="dxa"/>
            <w:tcBorders>
              <w:top w:val="single" w:color="000000" w:sz="8" w:space="0"/>
              <w:left w:val="single" w:color="000000" w:sz="2" w:space="0"/>
              <w:bottom w:val="single" w:color="000000" w:sz="8"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9" w:lineRule="auto"/>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桥梁跨径3×25，桥墩不涉水</w:t>
            </w:r>
          </w:p>
        </w:tc>
        <w:tc>
          <w:tcPr>
            <w:tcW w:w="2517" w:type="dxa"/>
            <w:tcBorders>
              <w:top w:val="single" w:color="000000" w:sz="8" w:space="0"/>
              <w:left w:val="single" w:color="000000" w:sz="2" w:space="0"/>
              <w:bottom w:val="single" w:color="000000" w:sz="8"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1529715" cy="1521460"/>
                  <wp:effectExtent l="0" t="0" r="13335" b="2540"/>
                  <wp:docPr id="11" name="图片 11" descr="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桥"/>
                          <pic:cNvPicPr>
                            <a:picLocks noChangeAspect="1"/>
                          </pic:cNvPicPr>
                        </pic:nvPicPr>
                        <pic:blipFill>
                          <a:blip r:embed="rId15"/>
                          <a:stretch>
                            <a:fillRect/>
                          </a:stretch>
                        </pic:blipFill>
                        <pic:spPr>
                          <a:xfrm>
                            <a:off x="0" y="0"/>
                            <a:ext cx="1529715" cy="1521460"/>
                          </a:xfrm>
                          <a:prstGeom prst="rect">
                            <a:avLst/>
                          </a:prstGeom>
                        </pic:spPr>
                      </pic:pic>
                    </a:graphicData>
                  </a:graphic>
                </wp:inline>
              </w:drawing>
            </w:r>
          </w:p>
        </w:tc>
      </w:tr>
    </w:tbl>
    <w:p>
      <w:pPr>
        <w:bidi w:val="0"/>
        <w:rPr>
          <w:rFonts w:hint="default"/>
          <w:lang w:val="en-US" w:eastAsia="zh-CN"/>
        </w:rPr>
      </w:pP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firstLine="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1.10.3生态环境保护目标</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cs="Times New Roman"/>
        </w:rPr>
        <w:t>通过调查，本项目不涉及</w:t>
      </w:r>
      <w:r>
        <w:rPr>
          <w:rFonts w:hint="default" w:ascii="Times New Roman" w:hAnsi="Times New Roman" w:cs="Times New Roman"/>
          <w:lang w:val="en-US" w:eastAsia="zh-CN"/>
        </w:rPr>
        <w:t>饮用水源保护区</w:t>
      </w:r>
      <w:r>
        <w:rPr>
          <w:rFonts w:hint="eastAsia" w:ascii="Times New Roman" w:hAnsi="Times New Roman" w:cs="Times New Roman"/>
          <w:lang w:val="en-US" w:eastAsia="zh-CN"/>
        </w:rPr>
        <w:t>、</w:t>
      </w:r>
      <w:r>
        <w:rPr>
          <w:rFonts w:hint="default" w:ascii="Times New Roman" w:hAnsi="Times New Roman" w:cs="Times New Roman"/>
          <w:lang w:val="en-US" w:eastAsia="zh-CN"/>
        </w:rPr>
        <w:t>基本农田</w:t>
      </w:r>
      <w:r>
        <w:rPr>
          <w:rFonts w:hint="eastAsia" w:ascii="Times New Roman" w:hAnsi="Times New Roman" w:cs="Times New Roman"/>
          <w:lang w:val="en-US" w:eastAsia="zh-CN"/>
        </w:rPr>
        <w:t>、</w:t>
      </w:r>
      <w:r>
        <w:rPr>
          <w:rFonts w:hint="default" w:ascii="Times New Roman" w:hAnsi="Times New Roman" w:cs="Times New Roman"/>
          <w:lang w:val="en-US" w:eastAsia="zh-CN"/>
        </w:rPr>
        <w:t>生态红线</w:t>
      </w:r>
      <w:r>
        <w:rPr>
          <w:rFonts w:hint="eastAsia" w:ascii="Times New Roman" w:hAnsi="Times New Roman" w:cs="Times New Roman"/>
          <w:lang w:val="en-US" w:eastAsia="zh-CN"/>
        </w:rPr>
        <w:t>、</w:t>
      </w:r>
      <w:r>
        <w:rPr>
          <w:rFonts w:hint="default" w:ascii="Times New Roman" w:hAnsi="Times New Roman" w:cs="Times New Roman"/>
        </w:rPr>
        <w:t>自然保护区</w:t>
      </w:r>
      <w:r>
        <w:rPr>
          <w:rFonts w:hint="eastAsia" w:ascii="Times New Roman" w:hAnsi="Times New Roman" w:cs="Times New Roman"/>
          <w:lang w:eastAsia="zh-CN"/>
        </w:rPr>
        <w:t>、</w:t>
      </w:r>
      <w:r>
        <w:rPr>
          <w:rFonts w:hint="default" w:ascii="Times New Roman" w:hAnsi="Times New Roman" w:cs="Times New Roman"/>
        </w:rPr>
        <w:t>湿地公园</w:t>
      </w:r>
      <w:r>
        <w:rPr>
          <w:rFonts w:hint="eastAsia" w:ascii="Times New Roman" w:hAnsi="Times New Roman" w:cs="Times New Roman"/>
          <w:lang w:eastAsia="zh-CN"/>
        </w:rPr>
        <w:t>、</w:t>
      </w:r>
      <w:r>
        <w:rPr>
          <w:rFonts w:hint="default" w:ascii="Times New Roman" w:hAnsi="Times New Roman" w:cs="Times New Roman"/>
        </w:rPr>
        <w:t>风景名胜区</w:t>
      </w:r>
      <w:r>
        <w:rPr>
          <w:rFonts w:hint="eastAsia" w:ascii="Times New Roman" w:hAnsi="Times New Roman" w:cs="Times New Roman"/>
          <w:lang w:eastAsia="zh-CN"/>
        </w:rPr>
        <w:t>、</w:t>
      </w:r>
      <w:r>
        <w:rPr>
          <w:rFonts w:hint="default" w:ascii="Times New Roman" w:hAnsi="Times New Roman" w:cs="Times New Roman"/>
        </w:rPr>
        <w:t>地质公园</w:t>
      </w:r>
      <w:r>
        <w:rPr>
          <w:rFonts w:hint="eastAsia" w:ascii="Times New Roman" w:hAnsi="Times New Roman" w:cs="Times New Roman"/>
          <w:lang w:eastAsia="zh-CN"/>
        </w:rPr>
        <w:t>、</w:t>
      </w:r>
      <w:r>
        <w:rPr>
          <w:rFonts w:hint="default" w:ascii="Times New Roman" w:hAnsi="Times New Roman" w:cs="Times New Roman"/>
        </w:rPr>
        <w:t>森林公园等特殊或重要生态环境敏感区域。</w:t>
      </w:r>
      <w:r>
        <w:rPr>
          <w:rFonts w:hint="default" w:ascii="Times New Roman" w:hAnsi="Times New Roman" w:cs="Times New Roman"/>
          <w:lang w:val="en-US" w:eastAsia="zh-CN"/>
        </w:rPr>
        <w:t>项目在</w:t>
      </w:r>
      <w:r>
        <w:rPr>
          <w:rFonts w:hint="default" w:ascii="Times New Roman" w:hAnsi="Times New Roman" w:cs="Times New Roman"/>
        </w:rPr>
        <w:t>K</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925</w:t>
      </w:r>
      <w:r>
        <w:rPr>
          <w:rFonts w:hint="eastAsia" w:ascii="Times New Roman" w:hAnsi="Times New Roman" w:cs="Times New Roman"/>
          <w:lang w:val="en-US" w:eastAsia="zh-CN"/>
        </w:rPr>
        <w:t>、</w:t>
      </w:r>
      <w:r>
        <w:rPr>
          <w:rFonts w:hint="default" w:ascii="Times New Roman" w:hAnsi="Times New Roman" w:cs="Times New Roman"/>
        </w:rPr>
        <w:t>K</w:t>
      </w: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val="en-US" w:eastAsia="zh-CN"/>
        </w:rPr>
        <w:t>791.5两处跨越渠江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cs="Times New Roman"/>
          <w:lang w:val="en-US" w:eastAsia="zh-CN"/>
        </w:rPr>
        <w:t>，桥墩不涉水。</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本项目的常规生态环境保护目标主要包括：公路占地和建设所涉及的自然植被</w:t>
      </w:r>
      <w:r>
        <w:rPr>
          <w:rFonts w:hint="eastAsia" w:ascii="Times New Roman" w:hAnsi="Times New Roman" w:cs="Times New Roman"/>
          <w:lang w:eastAsia="zh-CN"/>
        </w:rPr>
        <w:t>、</w:t>
      </w:r>
      <w:r>
        <w:rPr>
          <w:rFonts w:hint="default" w:ascii="Times New Roman" w:hAnsi="Times New Roman" w:cs="Times New Roman"/>
        </w:rPr>
        <w:t>耕地以及弃渣场生态环境</w:t>
      </w:r>
      <w:r>
        <w:rPr>
          <w:rFonts w:hint="eastAsia" w:ascii="Times New Roman" w:hAnsi="Times New Roman" w:cs="Times New Roman"/>
          <w:lang w:eastAsia="zh-CN"/>
        </w:rPr>
        <w:t>、</w:t>
      </w:r>
      <w:r>
        <w:rPr>
          <w:rFonts w:hint="default" w:ascii="Times New Roman" w:hAnsi="Times New Roman" w:cs="Times New Roman"/>
        </w:rPr>
        <w:t>野生保护动植物。</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本项目生态环境保护目标详见表 1.</w:t>
      </w:r>
      <w:r>
        <w:rPr>
          <w:rFonts w:hint="default" w:ascii="Times New Roman" w:hAnsi="Times New Roman" w:cs="Times New Roman"/>
          <w:lang w:val="en-US" w:eastAsia="zh-CN"/>
        </w:rPr>
        <w:t>10</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所示。</w:t>
      </w:r>
    </w:p>
    <w:p>
      <w:pPr>
        <w:pStyle w:val="2"/>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表 1.</w:t>
      </w:r>
      <w:r>
        <w:rPr>
          <w:rFonts w:hint="default" w:ascii="Times New Roman" w:hAnsi="Times New Roman" w:cs="Times New Roman"/>
          <w:b/>
          <w:bCs/>
          <w:sz w:val="21"/>
          <w:szCs w:val="21"/>
          <w:lang w:val="en-US" w:eastAsia="zh-CN"/>
        </w:rPr>
        <w:t>10</w:t>
      </w:r>
      <w:r>
        <w:rPr>
          <w:rFonts w:hint="default" w:ascii="Times New Roman" w:hAnsi="Times New Roman" w:cs="Times New Roman"/>
          <w:b/>
          <w:bCs/>
          <w:sz w:val="21"/>
          <w:szCs w:val="21"/>
        </w:rPr>
        <w:t>-</w:t>
      </w:r>
      <w:r>
        <w:rPr>
          <w:rFonts w:hint="default" w:ascii="Times New Roman" w:hAnsi="Times New Roman" w:cs="Times New Roman"/>
          <w:b/>
          <w:bCs/>
          <w:sz w:val="21"/>
          <w:szCs w:val="21"/>
          <w:lang w:val="en-US" w:eastAsia="zh-CN"/>
        </w:rPr>
        <w:t>3 生态环境</w:t>
      </w:r>
      <w:r>
        <w:rPr>
          <w:rFonts w:hint="default" w:ascii="Times New Roman" w:hAnsi="Times New Roman" w:cs="Times New Roman"/>
          <w:b/>
          <w:bCs/>
          <w:sz w:val="21"/>
          <w:szCs w:val="21"/>
        </w:rPr>
        <w:t>保护目标</w:t>
      </w:r>
      <w:r>
        <w:rPr>
          <w:rFonts w:hint="default" w:ascii="Times New Roman" w:hAnsi="Times New Roman" w:cs="Times New Roman"/>
          <w:b/>
          <w:bCs/>
          <w:sz w:val="21"/>
          <w:szCs w:val="21"/>
          <w:lang w:val="en-US" w:eastAsia="zh-CN"/>
        </w:rPr>
        <w:t>表</w:t>
      </w:r>
    </w:p>
    <w:tbl>
      <w:tblPr>
        <w:tblStyle w:val="17"/>
        <w:tblW w:w="8522" w:type="dxa"/>
        <w:tblInd w:w="125"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816"/>
        <w:gridCol w:w="1027"/>
        <w:gridCol w:w="4078"/>
        <w:gridCol w:w="2601"/>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2" w:hRule="atLeast"/>
        </w:trPr>
        <w:tc>
          <w:tcPr>
            <w:tcW w:w="1843" w:type="dxa"/>
            <w:gridSpan w:val="2"/>
            <w:tcBorders>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环保目标</w:t>
            </w:r>
          </w:p>
        </w:tc>
        <w:tc>
          <w:tcPr>
            <w:tcW w:w="4078" w:type="dxa"/>
            <w:tcBorders>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与项目关系</w:t>
            </w:r>
          </w:p>
        </w:tc>
        <w:tc>
          <w:tcPr>
            <w:tcW w:w="2601" w:type="dxa"/>
            <w:tcBorders>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保护内容</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510" w:hRule="atLeast"/>
        </w:trPr>
        <w:tc>
          <w:tcPr>
            <w:tcW w:w="816" w:type="dxa"/>
            <w:vMerge w:val="restart"/>
            <w:tcBorders>
              <w:top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p>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一般生态保护内容</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野生保护植物</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古树名木</w:t>
            </w:r>
          </w:p>
        </w:tc>
        <w:tc>
          <w:tcPr>
            <w:tcW w:w="4078" w:type="dxa"/>
            <w:tcBorders>
              <w:top w:val="single" w:color="000000" w:sz="4" w:space="0"/>
              <w:left w:val="single" w:color="000000" w:sz="4" w:space="0"/>
              <w:bottom w:val="single" w:color="000000" w:sz="4" w:space="0"/>
              <w:right w:val="single" w:color="000000" w:sz="4" w:space="0"/>
            </w:tcBorders>
            <w:vAlign w:val="center"/>
          </w:tcPr>
          <w:p>
            <w:pPr>
              <w:pStyle w:val="2"/>
              <w:bidi w:val="0"/>
              <w:jc w:val="left"/>
              <w:rPr>
                <w:rFonts w:hint="default" w:ascii="Times New Roman" w:hAnsi="Times New Roman" w:cs="Times New Roman"/>
                <w:sz w:val="21"/>
                <w:szCs w:val="21"/>
              </w:rPr>
            </w:pPr>
            <w:r>
              <w:rPr>
                <w:rFonts w:hint="default" w:ascii="Times New Roman" w:hAnsi="Times New Roman" w:cs="Times New Roman"/>
                <w:sz w:val="21"/>
                <w:szCs w:val="21"/>
              </w:rPr>
              <w:t>评价区内无国家Ⅰ</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II 级重点保护野生植物分布， </w:t>
            </w:r>
            <w:r>
              <w:rPr>
                <w:rFonts w:hint="default" w:ascii="Times New Roman" w:hAnsi="Times New Roman" w:cs="Times New Roman"/>
                <w:sz w:val="21"/>
                <w:szCs w:val="21"/>
                <w:lang w:val="en-US" w:eastAsia="zh-CN"/>
              </w:rPr>
              <w:t>无</w:t>
            </w:r>
            <w:r>
              <w:rPr>
                <w:rFonts w:hint="default" w:ascii="Times New Roman" w:hAnsi="Times New Roman" w:cs="Times New Roman"/>
                <w:sz w:val="21"/>
                <w:szCs w:val="21"/>
              </w:rPr>
              <w:t>古树分布。公路直接占地范围内， 未发现国家重点保护野生植物和名木古树。拟建公路评价范围内共有维管束植物145科 419属628种（含部分栽培物种），其中蕨类植物19科25属35 种；种子植物126科394属 593种，包括裸子植物8科16属20种，被子植物118科378属573种。</w:t>
            </w:r>
          </w:p>
        </w:tc>
        <w:tc>
          <w:tcPr>
            <w:tcW w:w="2601"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野生保护植物及其生境</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100" w:hRule="atLeast"/>
        </w:trPr>
        <w:tc>
          <w:tcPr>
            <w:tcW w:w="816" w:type="dxa"/>
            <w:vMerge w:val="continue"/>
            <w:tcBorders>
              <w:top w:val="nil"/>
              <w:right w:val="single" w:color="000000" w:sz="4" w:space="0"/>
            </w:tcBorders>
            <w:vAlign w:val="center"/>
          </w:tcPr>
          <w:p>
            <w:pPr>
              <w:pStyle w:val="2"/>
              <w:bidi w:val="0"/>
              <w:jc w:val="center"/>
              <w:rPr>
                <w:rFonts w:hint="default" w:ascii="Times New Roman" w:hAnsi="Times New Roman" w:cs="Times New Roman"/>
                <w:sz w:val="21"/>
                <w:szCs w:val="21"/>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陆生野生保护动物</w:t>
            </w:r>
          </w:p>
        </w:tc>
        <w:tc>
          <w:tcPr>
            <w:tcW w:w="4078" w:type="dxa"/>
            <w:tcBorders>
              <w:top w:val="single" w:color="000000" w:sz="4" w:space="0"/>
              <w:left w:val="single" w:color="000000" w:sz="4" w:space="0"/>
              <w:bottom w:val="single" w:color="000000" w:sz="4" w:space="0"/>
              <w:right w:val="single" w:color="000000" w:sz="4" w:space="0"/>
            </w:tcBorders>
            <w:vAlign w:val="center"/>
          </w:tcPr>
          <w:p>
            <w:pPr>
              <w:pStyle w:val="2"/>
              <w:bidi w:val="0"/>
              <w:jc w:val="left"/>
              <w:rPr>
                <w:rFonts w:hint="default" w:ascii="Times New Roman" w:hAnsi="Times New Roman" w:cs="Times New Roman"/>
                <w:sz w:val="21"/>
                <w:szCs w:val="21"/>
              </w:rPr>
            </w:pPr>
            <w:r>
              <w:rPr>
                <w:rFonts w:hint="default" w:ascii="Times New Roman" w:hAnsi="Times New Roman" w:cs="Times New Roman"/>
                <w:sz w:val="21"/>
                <w:szCs w:val="21"/>
              </w:rPr>
              <w:t>拟建公路沿线分布的评价区内</w:t>
            </w:r>
            <w:r>
              <w:rPr>
                <w:rFonts w:hint="default" w:ascii="Times New Roman" w:hAnsi="Times New Roman" w:cs="Times New Roman"/>
                <w:sz w:val="21"/>
                <w:szCs w:val="21"/>
                <w:lang w:val="en-US" w:eastAsia="zh-CN"/>
              </w:rPr>
              <w:t>无</w:t>
            </w:r>
            <w:r>
              <w:rPr>
                <w:rFonts w:hint="default" w:ascii="Times New Roman" w:hAnsi="Times New Roman" w:cs="Times New Roman"/>
                <w:sz w:val="21"/>
                <w:szCs w:val="21"/>
              </w:rPr>
              <w:t>国家</w:t>
            </w:r>
            <w:r>
              <w:rPr>
                <w:rFonts w:hint="default" w:ascii="Times New Roman" w:hAnsi="Times New Roman" w:cs="Times New Roman"/>
                <w:sz w:val="21"/>
                <w:szCs w:val="21"/>
                <w:lang w:val="en-US" w:eastAsia="zh-CN"/>
              </w:rPr>
              <w:t>和省</w:t>
            </w:r>
            <w:r>
              <w:rPr>
                <w:rFonts w:hint="default" w:ascii="Times New Roman" w:hAnsi="Times New Roman" w:cs="Times New Roman"/>
                <w:sz w:val="21"/>
                <w:szCs w:val="21"/>
              </w:rPr>
              <w:t>保护野生动物</w:t>
            </w:r>
            <w:r>
              <w:rPr>
                <w:rFonts w:hint="default" w:ascii="Times New Roman" w:hAnsi="Times New Roman" w:cs="Times New Roman"/>
                <w:sz w:val="21"/>
                <w:szCs w:val="21"/>
                <w:lang w:eastAsia="zh-CN"/>
              </w:rPr>
              <w:t>，</w:t>
            </w:r>
            <w:r>
              <w:rPr>
                <w:rFonts w:hint="default" w:ascii="Times New Roman" w:hAnsi="Times New Roman" w:cs="Times New Roman"/>
                <w:sz w:val="21"/>
                <w:szCs w:val="21"/>
              </w:rPr>
              <w:t>本项目不涉及陆生野生保护动物栖息地。</w:t>
            </w:r>
          </w:p>
        </w:tc>
        <w:tc>
          <w:tcPr>
            <w:tcW w:w="2601"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野生保护动物及其生境</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9" w:hRule="atLeast"/>
        </w:trPr>
        <w:tc>
          <w:tcPr>
            <w:tcW w:w="816" w:type="dxa"/>
            <w:vMerge w:val="continue"/>
            <w:tcBorders>
              <w:top w:val="nil"/>
              <w:right w:val="single" w:color="000000" w:sz="4" w:space="0"/>
            </w:tcBorders>
            <w:vAlign w:val="center"/>
          </w:tcPr>
          <w:p>
            <w:pPr>
              <w:pStyle w:val="2"/>
              <w:bidi w:val="0"/>
              <w:jc w:val="center"/>
              <w:rPr>
                <w:rFonts w:hint="default" w:ascii="Times New Roman" w:hAnsi="Times New Roman" w:cs="Times New Roman"/>
                <w:sz w:val="21"/>
                <w:szCs w:val="21"/>
              </w:rPr>
            </w:pPr>
          </w:p>
        </w:tc>
        <w:tc>
          <w:tcPr>
            <w:tcW w:w="1027" w:type="dxa"/>
            <w:tcBorders>
              <w:top w:val="single" w:color="000000" w:sz="4" w:space="0"/>
              <w:left w:val="single" w:color="000000" w:sz="4" w:space="0"/>
              <w:bottom w:val="single" w:color="000000" w:sz="6"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鱼类</w:t>
            </w:r>
          </w:p>
        </w:tc>
        <w:tc>
          <w:tcPr>
            <w:tcW w:w="4078" w:type="dxa"/>
            <w:tcBorders>
              <w:top w:val="single" w:color="000000" w:sz="4" w:space="0"/>
              <w:left w:val="single" w:color="000000" w:sz="4" w:space="0"/>
              <w:bottom w:val="single" w:color="000000" w:sz="6" w:space="0"/>
              <w:right w:val="single" w:color="000000" w:sz="4" w:space="0"/>
            </w:tcBorders>
            <w:vAlign w:val="center"/>
          </w:tcPr>
          <w:p>
            <w:pPr>
              <w:pStyle w:val="2"/>
              <w:bidi w:val="0"/>
              <w:jc w:val="left"/>
              <w:rPr>
                <w:rFonts w:hint="default" w:ascii="Times New Roman" w:hAnsi="Times New Roman" w:cs="Times New Roman"/>
                <w:sz w:val="21"/>
                <w:szCs w:val="21"/>
              </w:rPr>
            </w:pPr>
            <w:r>
              <w:rPr>
                <w:rFonts w:hint="default" w:ascii="Times New Roman" w:hAnsi="Times New Roman" w:cs="Times New Roman"/>
                <w:sz w:val="21"/>
                <w:szCs w:val="21"/>
              </w:rPr>
              <w:t>拟建线路评价区内鱼类有4目11科49种。其中鲤形目为区域优势种，占比为 76.32%%。无国家和省重点保护鱼类分布。</w:t>
            </w:r>
          </w:p>
        </w:tc>
        <w:tc>
          <w:tcPr>
            <w:tcW w:w="2601" w:type="dxa"/>
            <w:tcBorders>
              <w:top w:val="single" w:color="000000" w:sz="4" w:space="0"/>
              <w:left w:val="single" w:color="000000" w:sz="4" w:space="0"/>
              <w:bottom w:val="single" w:color="000000" w:sz="6"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鱼类及其生境</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100" w:hRule="atLeast"/>
        </w:trPr>
        <w:tc>
          <w:tcPr>
            <w:tcW w:w="816" w:type="dxa"/>
            <w:vMerge w:val="continue"/>
            <w:tcBorders>
              <w:top w:val="nil"/>
              <w:right w:val="single" w:color="000000" w:sz="4" w:space="0"/>
            </w:tcBorders>
            <w:vAlign w:val="center"/>
          </w:tcPr>
          <w:p>
            <w:pPr>
              <w:pStyle w:val="2"/>
              <w:bidi w:val="0"/>
              <w:jc w:val="center"/>
              <w:rPr>
                <w:rFonts w:hint="default" w:ascii="Times New Roman" w:hAnsi="Times New Roman" w:cs="Times New Roman"/>
                <w:sz w:val="21"/>
                <w:szCs w:val="21"/>
              </w:rPr>
            </w:pPr>
          </w:p>
        </w:tc>
        <w:tc>
          <w:tcPr>
            <w:tcW w:w="1027" w:type="dxa"/>
            <w:tcBorders>
              <w:top w:val="single" w:color="000000" w:sz="6"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生态系统</w:t>
            </w:r>
          </w:p>
        </w:tc>
        <w:tc>
          <w:tcPr>
            <w:tcW w:w="4078" w:type="dxa"/>
            <w:tcBorders>
              <w:top w:val="single" w:color="000000" w:sz="6" w:space="0"/>
              <w:left w:val="single" w:color="000000" w:sz="4" w:space="0"/>
              <w:bottom w:val="single" w:color="000000" w:sz="4" w:space="0"/>
              <w:right w:val="single" w:color="000000" w:sz="4" w:space="0"/>
            </w:tcBorders>
            <w:vAlign w:val="center"/>
          </w:tcPr>
          <w:p>
            <w:pPr>
              <w:pStyle w:val="2"/>
              <w:bidi w:val="0"/>
              <w:jc w:val="left"/>
              <w:rPr>
                <w:rFonts w:hint="default" w:ascii="Times New Roman" w:hAnsi="Times New Roman" w:cs="Times New Roman"/>
                <w:sz w:val="21"/>
                <w:szCs w:val="21"/>
              </w:rPr>
            </w:pPr>
            <w:r>
              <w:rPr>
                <w:rFonts w:hint="default" w:ascii="Times New Roman" w:hAnsi="Times New Roman" w:cs="Times New Roman"/>
                <w:sz w:val="21"/>
                <w:szCs w:val="21"/>
              </w:rPr>
              <w:t>评价区生态系统主要包括灌草丛生态系统</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农业生态系统和城镇生态系统</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种。其中农业生态系统占主导地位。</w:t>
            </w:r>
          </w:p>
        </w:tc>
        <w:tc>
          <w:tcPr>
            <w:tcW w:w="2601" w:type="dxa"/>
            <w:tcBorders>
              <w:top w:val="single" w:color="000000" w:sz="6"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生态系统完整性</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9" w:hRule="atLeast"/>
        </w:trPr>
        <w:tc>
          <w:tcPr>
            <w:tcW w:w="816" w:type="dxa"/>
            <w:vMerge w:val="continue"/>
            <w:tcBorders>
              <w:top w:val="nil"/>
              <w:right w:val="single" w:color="000000" w:sz="4" w:space="0"/>
            </w:tcBorders>
            <w:vAlign w:val="center"/>
          </w:tcPr>
          <w:p>
            <w:pPr>
              <w:pStyle w:val="2"/>
              <w:bidi w:val="0"/>
              <w:jc w:val="center"/>
              <w:rPr>
                <w:rFonts w:hint="default" w:ascii="Times New Roman" w:hAnsi="Times New Roman" w:cs="Times New Roman"/>
                <w:sz w:val="21"/>
                <w:szCs w:val="21"/>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天然林</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公益林及退</w:t>
            </w:r>
          </w:p>
          <w:p>
            <w:pPr>
              <w:pStyle w:val="2"/>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耕还林地</w:t>
            </w:r>
          </w:p>
        </w:tc>
        <w:tc>
          <w:tcPr>
            <w:tcW w:w="4078" w:type="dxa"/>
            <w:tcBorders>
              <w:top w:val="single" w:color="000000" w:sz="4" w:space="0"/>
              <w:left w:val="single" w:color="000000" w:sz="4" w:space="0"/>
              <w:bottom w:val="single" w:color="000000" w:sz="4" w:space="0"/>
              <w:right w:val="single" w:color="000000" w:sz="4" w:space="0"/>
            </w:tcBorders>
            <w:vAlign w:val="center"/>
          </w:tcPr>
          <w:p>
            <w:pPr>
              <w:pStyle w:val="2"/>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本项目永久占地区内不涉及国家一级公益林。</w:t>
            </w:r>
          </w:p>
        </w:tc>
        <w:tc>
          <w:tcPr>
            <w:tcW w:w="2601"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公益林</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天然林</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人工林。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69" w:hRule="atLeast"/>
        </w:trPr>
        <w:tc>
          <w:tcPr>
            <w:tcW w:w="816" w:type="dxa"/>
            <w:vMerge w:val="continue"/>
            <w:tcBorders>
              <w:top w:val="nil"/>
              <w:bottom w:val="nil"/>
              <w:right w:val="single" w:color="000000" w:sz="4" w:space="0"/>
            </w:tcBorders>
            <w:vAlign w:val="center"/>
          </w:tcPr>
          <w:p>
            <w:pPr>
              <w:pStyle w:val="2"/>
              <w:bidi w:val="0"/>
              <w:jc w:val="center"/>
              <w:rPr>
                <w:rFonts w:hint="default" w:ascii="Times New Roman" w:hAnsi="Times New Roman" w:cs="Times New Roman"/>
                <w:sz w:val="21"/>
                <w:szCs w:val="21"/>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植被</w:t>
            </w:r>
          </w:p>
        </w:tc>
        <w:tc>
          <w:tcPr>
            <w:tcW w:w="4078" w:type="dxa"/>
            <w:tcBorders>
              <w:top w:val="single" w:color="000000" w:sz="4" w:space="0"/>
              <w:left w:val="single" w:color="000000" w:sz="4" w:space="0"/>
              <w:bottom w:val="single" w:color="000000" w:sz="4" w:space="0"/>
              <w:right w:val="single" w:color="000000" w:sz="4" w:space="0"/>
            </w:tcBorders>
            <w:vAlign w:val="center"/>
          </w:tcPr>
          <w:p>
            <w:pPr>
              <w:pStyle w:val="2"/>
              <w:bidi w:val="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rPr>
              <w:t>拟建公路两侧完全没有原生阔叶林植被，目</w:t>
            </w:r>
            <w:r>
              <w:rPr>
                <w:rFonts w:hint="default" w:ascii="Times New Roman" w:hAnsi="Times New Roman" w:cs="Times New Roman"/>
                <w:sz w:val="21"/>
                <w:szCs w:val="21"/>
                <w:lang w:val="en-US" w:eastAsia="zh-CN"/>
              </w:rPr>
              <w:t>前</w:t>
            </w:r>
            <w:r>
              <w:rPr>
                <w:rFonts w:hint="default" w:ascii="Times New Roman" w:hAnsi="Times New Roman" w:cs="Times New Roman"/>
                <w:sz w:val="21"/>
                <w:szCs w:val="21"/>
              </w:rPr>
              <w:t>次生植被以耕地</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经济林地</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柏木林</w:t>
            </w:r>
            <w:r>
              <w:rPr>
                <w:rFonts w:hint="eastAsia" w:ascii="Times New Roman" w:hAnsi="Times New Roman" w:cs="Times New Roman"/>
                <w:sz w:val="21"/>
                <w:szCs w:val="21"/>
                <w:lang w:eastAsia="zh-CN"/>
              </w:rPr>
              <w:t>、</w:t>
            </w:r>
            <w:r>
              <w:rPr>
                <w:rFonts w:hint="default" w:ascii="Times New Roman" w:hAnsi="Times New Roman" w:cs="Times New Roman"/>
                <w:sz w:val="21"/>
                <w:szCs w:val="21"/>
              </w:rPr>
              <w:t>阔叶杂木林和慈竹林较为多见。栽培植被类型中水田以水稻和小麦</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油菜为主，旱地以玉米和小麦</w:t>
            </w:r>
            <w:r>
              <w:rPr>
                <w:rFonts w:hint="eastAsia" w:ascii="Times New Roman" w:hAnsi="Times New Roman" w:cs="Times New Roman"/>
                <w:sz w:val="21"/>
                <w:szCs w:val="21"/>
                <w:lang w:eastAsia="zh-CN"/>
              </w:rPr>
              <w:t>、</w:t>
            </w:r>
            <w:r>
              <w:rPr>
                <w:rFonts w:hint="default" w:ascii="Times New Roman" w:hAnsi="Times New Roman" w:cs="Times New Roman"/>
                <w:sz w:val="21"/>
                <w:szCs w:val="21"/>
                <w:lang w:val="en-US" w:eastAsia="zh-CN"/>
              </w:rPr>
              <w:t>油菜为主。</w:t>
            </w:r>
          </w:p>
        </w:tc>
        <w:tc>
          <w:tcPr>
            <w:tcW w:w="2601" w:type="dxa"/>
            <w:tcBorders>
              <w:top w:val="single" w:color="000000" w:sz="4" w:space="0"/>
              <w:left w:val="single" w:color="000000" w:sz="4" w:space="0"/>
              <w:bottom w:val="single" w:color="000000" w:sz="4" w:space="0"/>
            </w:tcBorders>
            <w:vAlign w:val="center"/>
          </w:tcPr>
          <w:p>
            <w:pPr>
              <w:pStyle w:val="2"/>
              <w:bidi w:val="0"/>
              <w:jc w:val="center"/>
              <w:rPr>
                <w:rFonts w:hint="default" w:ascii="Times New Roman" w:hAnsi="Times New Roman" w:cs="Times New Roman"/>
                <w:sz w:val="21"/>
                <w:szCs w:val="21"/>
              </w:rPr>
            </w:pPr>
            <w:r>
              <w:rPr>
                <w:rFonts w:hint="default" w:ascii="Times New Roman" w:hAnsi="Times New Roman" w:cs="Times New Roman"/>
                <w:sz w:val="21"/>
                <w:szCs w:val="21"/>
              </w:rPr>
              <w:t>生态环境及水土保持</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69" w:hRule="atLeast"/>
        </w:trPr>
        <w:tc>
          <w:tcPr>
            <w:tcW w:w="816" w:type="dxa"/>
            <w:tcBorders>
              <w:top w:val="nil"/>
              <w:right w:val="single" w:color="000000" w:sz="4" w:space="0"/>
            </w:tcBorders>
            <w:vAlign w:val="center"/>
          </w:tcPr>
          <w:p>
            <w:pPr>
              <w:pStyle w:val="2"/>
              <w:bidi w:val="0"/>
              <w:jc w:val="center"/>
              <w:rPr>
                <w:rFonts w:hint="default" w:ascii="Times New Roman" w:hAnsi="Times New Roman" w:cs="Times New Roman"/>
                <w:sz w:val="21"/>
                <w:szCs w:val="21"/>
              </w:rPr>
            </w:pPr>
          </w:p>
        </w:tc>
        <w:tc>
          <w:tcPr>
            <w:tcW w:w="1027" w:type="dxa"/>
            <w:tcBorders>
              <w:top w:val="single" w:color="000000" w:sz="4" w:space="0"/>
              <w:left w:val="single" w:color="000000" w:sz="4" w:space="0"/>
              <w:right w:val="single" w:color="000000" w:sz="4" w:space="0"/>
            </w:tcBorders>
            <w:vAlign w:val="center"/>
          </w:tcPr>
          <w:p>
            <w:pPr>
              <w:pStyle w:val="2"/>
              <w:bidi w:val="0"/>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景观</w:t>
            </w:r>
          </w:p>
        </w:tc>
        <w:tc>
          <w:tcPr>
            <w:tcW w:w="4078" w:type="dxa"/>
            <w:tcBorders>
              <w:top w:val="single" w:color="000000" w:sz="4" w:space="0"/>
              <w:left w:val="single" w:color="000000" w:sz="4" w:space="0"/>
              <w:right w:val="single" w:color="000000" w:sz="4" w:space="0"/>
            </w:tcBorders>
            <w:vAlign w:val="center"/>
          </w:tcPr>
          <w:p>
            <w:pPr>
              <w:pStyle w:val="2"/>
              <w:bidi w:val="0"/>
              <w:jc w:val="left"/>
              <w:rPr>
                <w:rFonts w:hint="default" w:ascii="Times New Roman" w:hAnsi="Times New Roman" w:cs="Times New Roman"/>
                <w:sz w:val="21"/>
                <w:szCs w:val="21"/>
                <w:lang w:val="zh-CN" w:eastAsia="zh-CN"/>
              </w:rPr>
            </w:pPr>
            <w:r>
              <w:rPr>
                <w:rFonts w:hint="default" w:ascii="Times New Roman" w:hAnsi="Times New Roman" w:cs="Times New Roman"/>
                <w:sz w:val="21"/>
                <w:szCs w:val="21"/>
              </w:rPr>
              <w:t>沿线主要</w:t>
            </w:r>
            <w:r>
              <w:rPr>
                <w:rFonts w:hint="default" w:ascii="Times New Roman" w:hAnsi="Times New Roman" w:cs="Times New Roman"/>
                <w:sz w:val="21"/>
                <w:szCs w:val="21"/>
                <w:lang w:val="en-US" w:eastAsia="zh-CN"/>
              </w:rPr>
              <w:t>为</w:t>
            </w:r>
            <w:r>
              <w:rPr>
                <w:rFonts w:hint="default" w:ascii="Times New Roman" w:hAnsi="Times New Roman" w:cs="Times New Roman"/>
                <w:sz w:val="21"/>
                <w:szCs w:val="21"/>
              </w:rPr>
              <w:t>自然景观</w:t>
            </w:r>
          </w:p>
        </w:tc>
        <w:tc>
          <w:tcPr>
            <w:tcW w:w="2601" w:type="dxa"/>
            <w:tcBorders>
              <w:top w:val="single" w:color="000000" w:sz="4" w:space="0"/>
              <w:left w:val="single" w:color="000000" w:sz="4" w:space="0"/>
            </w:tcBorders>
            <w:vAlign w:val="center"/>
          </w:tcPr>
          <w:p>
            <w:pPr>
              <w:pStyle w:val="2"/>
              <w:bidi w:val="0"/>
              <w:jc w:val="center"/>
              <w:rPr>
                <w:rFonts w:hint="default" w:ascii="Times New Roman" w:hAnsi="Times New Roman" w:cs="Times New Roman"/>
                <w:sz w:val="21"/>
                <w:szCs w:val="21"/>
                <w:lang w:val="zh-CN" w:eastAsia="zh-CN"/>
              </w:rPr>
            </w:pPr>
            <w:r>
              <w:rPr>
                <w:rFonts w:hint="default" w:ascii="Times New Roman" w:hAnsi="Times New Roman" w:cs="Times New Roman"/>
                <w:sz w:val="21"/>
                <w:szCs w:val="21"/>
              </w:rPr>
              <w:t>景观</w:t>
            </w:r>
          </w:p>
        </w:tc>
      </w:tr>
    </w:tbl>
    <w:p>
      <w:pPr>
        <w:bidi w:val="0"/>
        <w:rPr>
          <w:rFonts w:hint="default"/>
          <w:lang w:val="en-US" w:eastAsia="zh-CN"/>
        </w:rPr>
      </w:pPr>
      <w:bookmarkStart w:id="61" w:name="_Toc28533"/>
    </w:p>
    <w:p>
      <w:pPr>
        <w:pStyle w:val="4"/>
        <w:keepNext/>
        <w:keepLines/>
        <w:pageBreakBefore w:val="0"/>
        <w:widowControl w:val="0"/>
        <w:kinsoku/>
        <w:wordWrap/>
        <w:overflowPunct/>
        <w:topLinePunct w:val="0"/>
        <w:autoSpaceDE w:val="0"/>
        <w:autoSpaceDN w:val="0"/>
        <w:bidi w:val="0"/>
        <w:adjustRightInd/>
        <w:snapToGrid/>
        <w:spacing w:before="0" w:after="0" w:line="360" w:lineRule="auto"/>
        <w:textAlignment w:val="auto"/>
        <w:rPr>
          <w:rFonts w:hint="default" w:ascii="Times New Roman" w:hAnsi="Times New Roman" w:cs="Times New Roman" w:eastAsiaTheme="minorEastAsia"/>
          <w:b/>
          <w:sz w:val="24"/>
          <w:szCs w:val="24"/>
          <w:lang w:val="en-US" w:eastAsia="zh-CN"/>
        </w:rPr>
      </w:pPr>
      <w:r>
        <w:rPr>
          <w:rFonts w:hint="default" w:ascii="Times New Roman" w:hAnsi="Times New Roman" w:cs="Times New Roman" w:eastAsiaTheme="minorEastAsia"/>
          <w:b/>
          <w:sz w:val="24"/>
          <w:szCs w:val="24"/>
          <w:lang w:val="en-US" w:eastAsia="zh-CN"/>
        </w:rPr>
        <w:t>1.11.评价预测时段</w:t>
      </w:r>
      <w:bookmarkEnd w:id="61"/>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根据本工程建设年限和交通量预测，环境影响评价时段拟定为：</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（1）施工期：2021 年～202</w:t>
      </w:r>
      <w:r>
        <w:rPr>
          <w:rFonts w:hint="default" w:ascii="Times New Roman" w:hAnsi="Times New Roman" w:cs="Times New Roman"/>
          <w:lang w:val="en-US" w:eastAsia="zh-CN"/>
        </w:rPr>
        <w:t>2</w:t>
      </w:r>
      <w:r>
        <w:rPr>
          <w:rFonts w:hint="default" w:ascii="Times New Roman" w:hAnsi="Times New Roman" w:cs="Times New Roman"/>
        </w:rPr>
        <w:t xml:space="preserve"> 年，建设工期</w:t>
      </w:r>
      <w:r>
        <w:rPr>
          <w:rFonts w:hint="default" w:ascii="Times New Roman" w:hAnsi="Times New Roman" w:cs="Times New Roman"/>
          <w:lang w:val="en-US" w:eastAsia="zh-CN"/>
        </w:rPr>
        <w:t>13个月</w:t>
      </w:r>
      <w:r>
        <w:rPr>
          <w:rFonts w:hint="default" w:ascii="Times New Roman" w:hAnsi="Times New Roman" w:cs="Times New Roma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 xml:space="preserve">（2）营运期：按 </w:t>
      </w:r>
      <w:r>
        <w:rPr>
          <w:rFonts w:hint="default" w:ascii="Times New Roman" w:hAnsi="Times New Roman" w:cs="Times New Roman"/>
          <w:lang w:eastAsia="zh-CN"/>
        </w:rPr>
        <w:t>2025年</w:t>
      </w:r>
      <w:r>
        <w:rPr>
          <w:rFonts w:hint="eastAsia" w:ascii="Times New Roman" w:hAnsi="Times New Roman" w:cs="Times New Roman"/>
          <w:lang w:eastAsia="zh-CN"/>
        </w:rPr>
        <w:t>、</w:t>
      </w:r>
      <w:r>
        <w:rPr>
          <w:rFonts w:hint="default" w:ascii="Times New Roman" w:hAnsi="Times New Roman" w:cs="Times New Roman"/>
          <w:lang w:eastAsia="zh-CN"/>
        </w:rPr>
        <w:t>2031年</w:t>
      </w:r>
      <w:r>
        <w:rPr>
          <w:rFonts w:hint="eastAsia" w:ascii="Times New Roman" w:hAnsi="Times New Roman" w:cs="Times New Roman"/>
          <w:lang w:eastAsia="zh-CN"/>
        </w:rPr>
        <w:t>、</w:t>
      </w:r>
      <w:r>
        <w:rPr>
          <w:rFonts w:hint="default" w:ascii="Times New Roman" w:hAnsi="Times New Roman" w:cs="Times New Roman"/>
          <w:lang w:eastAsia="zh-CN"/>
        </w:rPr>
        <w:t>2039年</w:t>
      </w:r>
      <w:r>
        <w:rPr>
          <w:rFonts w:hint="default" w:ascii="Times New Roman" w:hAnsi="Times New Roman" w:cs="Times New Roman"/>
        </w:rPr>
        <w:t>三个特征年。</w:t>
      </w:r>
    </w:p>
    <w:p>
      <w:pPr>
        <w:pStyle w:val="4"/>
        <w:keepNext/>
        <w:keepLines/>
        <w:pageBreakBefore w:val="0"/>
        <w:widowControl w:val="0"/>
        <w:kinsoku/>
        <w:wordWrap/>
        <w:overflowPunct/>
        <w:topLinePunct w:val="0"/>
        <w:autoSpaceDE w:val="0"/>
        <w:autoSpaceDN w:val="0"/>
        <w:bidi w:val="0"/>
        <w:adjustRightInd/>
        <w:snapToGrid/>
        <w:spacing w:before="0" w:after="0" w:line="360" w:lineRule="auto"/>
        <w:textAlignment w:val="auto"/>
        <w:rPr>
          <w:rFonts w:hint="default" w:ascii="Times New Roman" w:hAnsi="Times New Roman" w:cs="Times New Roman" w:eastAsiaTheme="minorEastAsia"/>
          <w:b/>
          <w:sz w:val="24"/>
          <w:szCs w:val="24"/>
          <w:lang w:val="en-US" w:eastAsia="zh-CN"/>
        </w:rPr>
      </w:pPr>
      <w:bookmarkStart w:id="62" w:name="_bookmark10"/>
      <w:bookmarkEnd w:id="62"/>
      <w:bookmarkStart w:id="63" w:name="1.10 评价工作程序"/>
      <w:bookmarkEnd w:id="63"/>
      <w:bookmarkStart w:id="64" w:name="_bookmark10"/>
      <w:bookmarkEnd w:id="64"/>
      <w:bookmarkStart w:id="65" w:name="_Toc11099"/>
      <w:r>
        <w:rPr>
          <w:rFonts w:hint="default" w:ascii="Times New Roman" w:hAnsi="Times New Roman" w:cs="Times New Roman" w:eastAsiaTheme="minorEastAsia"/>
          <w:b/>
          <w:sz w:val="24"/>
          <w:szCs w:val="24"/>
          <w:lang w:val="en-US" w:eastAsia="zh-CN"/>
        </w:rPr>
        <w:t>1.12.评价工作程序</w:t>
      </w:r>
      <w:bookmarkEnd w:id="65"/>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本项目的评价工作程序见下图 1.1</w:t>
      </w:r>
      <w:r>
        <w:rPr>
          <w:rFonts w:hint="default" w:ascii="Times New Roman" w:hAnsi="Times New Roman" w:cs="Times New Roman"/>
          <w:lang w:val="en-US" w:eastAsia="zh-CN"/>
        </w:rPr>
        <w:t>2</w:t>
      </w:r>
      <w:r>
        <w:rPr>
          <w:rFonts w:hint="default" w:ascii="Times New Roman" w:hAnsi="Times New Roman" w:cs="Times New Roman"/>
        </w:rPr>
        <w:t>-1</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00" w:firstLineChars="200"/>
        <w:textAlignment w:val="auto"/>
        <w:rPr>
          <w:rFonts w:hint="default" w:ascii="Times New Roman" w:hAnsi="Times New Roman" w:cs="Times New Roman"/>
          <w:sz w:val="20"/>
        </w:rPr>
      </w:pPr>
      <w:r>
        <w:rPr>
          <w:rFonts w:hint="default" w:ascii="Times New Roman" w:hAnsi="Times New Roman" w:cs="Times New Roman"/>
          <w:sz w:val="20"/>
        </w:rPr>
        <w:drawing>
          <wp:inline distT="0" distB="0" distL="0" distR="0">
            <wp:extent cx="4940300" cy="6174105"/>
            <wp:effectExtent l="0" t="0" r="12700" b="17145"/>
            <wp:docPr id="749" name="image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image434.jpeg"/>
                    <pic:cNvPicPr>
                      <a:picLocks noChangeAspect="1"/>
                    </pic:cNvPicPr>
                  </pic:nvPicPr>
                  <pic:blipFill>
                    <a:blip r:embed="rId16" cstate="print"/>
                    <a:stretch>
                      <a:fillRect/>
                    </a:stretch>
                  </pic:blipFill>
                  <pic:spPr>
                    <a:xfrm>
                      <a:off x="0" y="0"/>
                      <a:ext cx="4940360" cy="6174390"/>
                    </a:xfrm>
                    <a:prstGeom prst="rect">
                      <a:avLst/>
                    </a:prstGeom>
                  </pic:spPr>
                </pic:pic>
              </a:graphicData>
            </a:graphic>
          </wp:inline>
        </w:drawing>
      </w:r>
    </w:p>
    <w:p>
      <w:pPr>
        <w:bidi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图 1.10-1</w:t>
      </w:r>
      <w:r>
        <w:rPr>
          <w:rFonts w:hint="default" w:ascii="Times New Roman" w:hAnsi="Times New Roman" w:cs="Times New Roman"/>
          <w:b/>
          <w:bCs/>
          <w:sz w:val="21"/>
          <w:szCs w:val="21"/>
        </w:rPr>
        <w:tab/>
      </w:r>
      <w:r>
        <w:rPr>
          <w:rFonts w:hint="default" w:ascii="Times New Roman" w:hAnsi="Times New Roman" w:cs="Times New Roman"/>
          <w:b/>
          <w:bCs/>
          <w:sz w:val="21"/>
          <w:szCs w:val="21"/>
        </w:rPr>
        <w:t>评价工作程序图</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00" w:firstLineChars="200"/>
        <w:textAlignment w:val="auto"/>
        <w:rPr>
          <w:rFonts w:hint="default" w:ascii="Times New Roman" w:hAnsi="Times New Roman" w:cs="Times New Roman"/>
          <w:sz w:val="20"/>
          <w:lang w:val="en-US" w:eastAsia="zh-CN"/>
        </w:rPr>
      </w:pPr>
    </w:p>
    <w:p>
      <w:pPr>
        <w:bidi w:val="0"/>
        <w:rPr>
          <w:rFonts w:hint="default"/>
          <w:lang w:val="en-US" w:eastAsia="zh-CN"/>
        </w:rPr>
      </w:pPr>
      <w:bookmarkStart w:id="66" w:name="_Toc3964"/>
    </w:p>
    <w:p>
      <w:pPr>
        <w:pStyle w:val="2"/>
        <w:rPr>
          <w:rFonts w:hint="default"/>
          <w:lang w:val="en-US" w:eastAsia="zh-CN"/>
        </w:rPr>
      </w:pPr>
    </w:p>
    <w:p>
      <w:pPr>
        <w:rPr>
          <w:rFonts w:hint="default"/>
          <w:b/>
          <w:bCs w:val="0"/>
          <w:lang w:val="en-US" w:eastAsia="zh-CN"/>
        </w:rPr>
      </w:pPr>
    </w:p>
    <w:p>
      <w:pPr>
        <w:pStyle w:val="2"/>
        <w:rPr>
          <w:rFonts w:hint="default"/>
          <w:b/>
          <w:bCs w:val="0"/>
          <w:lang w:val="en-US" w:eastAsia="zh-CN"/>
        </w:rPr>
      </w:pPr>
    </w:p>
    <w:p>
      <w:pPr>
        <w:rPr>
          <w:rFonts w:hint="default"/>
          <w:b/>
          <w:bCs w:val="0"/>
          <w:lang w:val="en-US" w:eastAsia="zh-CN"/>
        </w:rPr>
      </w:pPr>
    </w:p>
    <w:p>
      <w:pPr>
        <w:pStyle w:val="2"/>
        <w:rPr>
          <w:rFonts w:hint="default"/>
          <w:b/>
          <w:bCs w:val="0"/>
          <w:lang w:val="en-US" w:eastAsia="zh-CN"/>
        </w:rPr>
      </w:pPr>
    </w:p>
    <w:p>
      <w:pPr>
        <w:rPr>
          <w:rFonts w:hint="default"/>
          <w:b/>
          <w:bCs w:val="0"/>
          <w:lang w:val="en-US" w:eastAsia="zh-CN"/>
        </w:rPr>
      </w:pPr>
    </w:p>
    <w:p>
      <w:pPr>
        <w:pStyle w:val="2"/>
        <w:rPr>
          <w:rFonts w:hint="default"/>
          <w:lang w:val="en-US" w:eastAsia="zh-CN"/>
        </w:rPr>
      </w:pPr>
    </w:p>
    <w:p>
      <w:pPr>
        <w:pStyle w:val="3"/>
        <w:bidi w:val="0"/>
        <w:rPr>
          <w:rFonts w:hint="default"/>
          <w:b/>
          <w:bCs w:val="0"/>
          <w:lang w:val="en-US" w:eastAsia="zh-CN"/>
        </w:rPr>
      </w:pPr>
      <w:r>
        <w:rPr>
          <w:rFonts w:hint="default"/>
          <w:b/>
          <w:bCs w:val="0"/>
          <w:lang w:val="en-US" w:eastAsia="zh-CN"/>
        </w:rPr>
        <w:t>2.建设项目工程分析</w:t>
      </w:r>
      <w:bookmarkEnd w:id="66"/>
    </w:p>
    <w:p>
      <w:pPr>
        <w:pStyle w:val="4"/>
        <w:bidi w:val="0"/>
        <w:rPr>
          <w:rFonts w:hint="default"/>
          <w:lang w:val="en-US" w:eastAsia="zh-CN"/>
        </w:rPr>
      </w:pPr>
      <w:bookmarkStart w:id="67" w:name="_Toc18188"/>
      <w:r>
        <w:rPr>
          <w:rFonts w:hint="default"/>
          <w:lang w:val="en-US" w:eastAsia="zh-CN"/>
        </w:rPr>
        <w:t>2.1.项目基本信息</w:t>
      </w:r>
      <w:bookmarkEnd w:id="67"/>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项目名称：渠县临巴镇绕场在改线工程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建设单位：渠县交投建设有限责任公司</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建设性质：新建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建设地点：渠县临巴镇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主要建设内容及规模：</w:t>
      </w:r>
      <w:r>
        <w:rPr>
          <w:rFonts w:hint="default" w:ascii="Times New Roman" w:hAnsi="Times New Roman" w:cs="Times New Roman"/>
          <w:sz w:val="24"/>
          <w:szCs w:val="24"/>
          <w:lang w:eastAsia="zh-CN"/>
        </w:rPr>
        <w:t>本项目位于</w:t>
      </w:r>
      <w:r>
        <w:rPr>
          <w:rFonts w:hint="default" w:ascii="Times New Roman" w:hAnsi="Times New Roman" w:cs="Times New Roman"/>
          <w:sz w:val="24"/>
          <w:szCs w:val="24"/>
          <w:lang w:val="en-US" w:eastAsia="zh-CN"/>
        </w:rPr>
        <w:t>渠县临巴镇，起点位于临巴镇北侧福善村北侧，终点位于临巴镇幸福大道。路线全长3.83km，按二级公路标准设计，设计时速60km，桥梁194m/2座，涵洞398m/12道。</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总投资：16740万元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建设工期：13个月</w:t>
      </w:r>
    </w:p>
    <w:p>
      <w:pPr>
        <w:pStyle w:val="4"/>
        <w:bidi w:val="0"/>
        <w:rPr>
          <w:rFonts w:hint="default"/>
          <w:lang w:val="en-US" w:eastAsia="zh-CN"/>
        </w:rPr>
      </w:pPr>
      <w:bookmarkStart w:id="68" w:name="_Toc12849"/>
      <w:r>
        <w:rPr>
          <w:rFonts w:hint="default"/>
          <w:lang w:val="en-US" w:eastAsia="zh-CN"/>
        </w:rPr>
        <w:t>2.2.地理位置与路线走向</w:t>
      </w:r>
      <w:bookmarkEnd w:id="68"/>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2.2.1地理位置</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渠县临巴镇绕场镇改线工程起于临巴镇北侧福善村北侧，与S203线对接，路线止于临巴镇幸福大道。</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694555" cy="3206750"/>
            <wp:effectExtent l="0" t="0" r="10795" b="12700"/>
            <wp:docPr id="12" name="图片 12"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理位置图"/>
                    <pic:cNvPicPr>
                      <a:picLocks noChangeAspect="1"/>
                    </pic:cNvPicPr>
                  </pic:nvPicPr>
                  <pic:blipFill>
                    <a:blip r:embed="rId17"/>
                    <a:srcRect l="-156" t="513" r="-156" b="513"/>
                    <a:stretch>
                      <a:fillRect/>
                    </a:stretch>
                  </pic:blipFill>
                  <pic:spPr>
                    <a:xfrm>
                      <a:off x="0" y="0"/>
                      <a:ext cx="4694555" cy="3206750"/>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图2.1-1 项目地理位置图</w:t>
      </w: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2.2.2.路线走向</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渠县临巴镇绕场镇改线工程起于临巴镇北侧福善村北侧，与S203线对接，经溪口村</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四合村，于四合村跨越渠江</w:t>
      </w:r>
      <w:r>
        <w:rPr>
          <w:rFonts w:hint="eastAsia" w:ascii="Times New Roman" w:hAnsi="Times New Roman" w:cs="Times New Roman"/>
          <w:sz w:val="24"/>
          <w:szCs w:val="24"/>
          <w:lang w:val="en-US" w:eastAsia="zh-CN"/>
        </w:rPr>
        <w:t>一级支流知县坝河</w:t>
      </w:r>
      <w:r>
        <w:rPr>
          <w:rFonts w:hint="default" w:ascii="Times New Roman" w:hAnsi="Times New Roman" w:eastAsia="宋体" w:cs="Times New Roman"/>
          <w:b w:val="0"/>
          <w:bCs w:val="0"/>
          <w:sz w:val="24"/>
          <w:szCs w:val="24"/>
          <w:highlight w:val="none"/>
          <w:lang w:val="en-US" w:eastAsia="zh-CN"/>
        </w:rPr>
        <w:t>；经临巴镇东侧跨越渠江</w:t>
      </w:r>
      <w:r>
        <w:rPr>
          <w:rFonts w:hint="eastAsia" w:ascii="Times New Roman" w:hAnsi="Times New Roman" w:cs="Times New Roman"/>
          <w:sz w:val="24"/>
          <w:szCs w:val="24"/>
          <w:lang w:val="en-US" w:eastAsia="zh-CN"/>
        </w:rPr>
        <w:t>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eastAsia="宋体" w:cs="Times New Roman"/>
          <w:b w:val="0"/>
          <w:bCs w:val="0"/>
          <w:sz w:val="24"/>
          <w:szCs w:val="24"/>
          <w:highlight w:val="none"/>
          <w:lang w:val="en-US" w:eastAsia="zh-CN"/>
        </w:rPr>
        <w:t>，路线止于临巴镇幸福大道。</w:t>
      </w: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2.2.3.主要控制点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沿线主要控制点：临巴镇</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四合村</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溪口村</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福善村等。</w:t>
      </w:r>
    </w:p>
    <w:p>
      <w:pPr>
        <w:pStyle w:val="4"/>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1"/>
        <w:rPr>
          <w:rFonts w:hint="default" w:ascii="Times New Roman" w:hAnsi="Times New Roman" w:cs="Times New Roman"/>
          <w:b/>
          <w:sz w:val="24"/>
          <w:szCs w:val="24"/>
          <w:lang w:val="en-US" w:eastAsia="zh-CN"/>
        </w:rPr>
      </w:pPr>
      <w:bookmarkStart w:id="69" w:name="_Toc16948"/>
      <w:r>
        <w:rPr>
          <w:rFonts w:hint="default" w:ascii="Times New Roman" w:hAnsi="Times New Roman" w:cs="Times New Roman"/>
          <w:b/>
          <w:sz w:val="24"/>
          <w:szCs w:val="24"/>
          <w:lang w:val="en-US" w:eastAsia="zh-CN"/>
        </w:rPr>
        <w:t>2.3.主要技术标准与建设规模</w:t>
      </w:r>
      <w:bookmarkEnd w:id="69"/>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2.3.1.主要技术标准</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根据本项目功能定位和作用，主要技术指标如下表。</w:t>
      </w:r>
    </w:p>
    <w:p>
      <w:pPr>
        <w:numPr>
          <w:ilvl w:val="0"/>
          <w:numId w:val="0"/>
        </w:numPr>
        <w:tabs>
          <w:tab w:val="left" w:pos="0"/>
        </w:tabs>
        <w:autoSpaceDE w:val="0"/>
        <w:autoSpaceDN w:val="0"/>
        <w:adjustRightInd w:val="0"/>
        <w:spacing w:line="240" w:lineRule="auto"/>
        <w:jc w:val="center"/>
        <w:outlineLvl w:val="9"/>
        <w:rPr>
          <w:rFonts w:hint="default" w:ascii="Times New Roman" w:hAnsi="Times New Roman" w:eastAsia="宋体" w:cs="Times New Roman"/>
          <w:b/>
          <w:bCs/>
          <w:kern w:val="0"/>
          <w:sz w:val="21"/>
          <w:szCs w:val="21"/>
          <w:highlight w:val="none"/>
          <w:lang w:val="en-US" w:eastAsia="zh-CN"/>
        </w:rPr>
      </w:pPr>
      <w:r>
        <w:rPr>
          <w:rFonts w:hint="default" w:ascii="Times New Roman" w:hAnsi="Times New Roman" w:eastAsia="宋体" w:cs="Times New Roman"/>
          <w:b/>
          <w:bCs/>
          <w:kern w:val="0"/>
          <w:sz w:val="21"/>
          <w:szCs w:val="21"/>
          <w:highlight w:val="none"/>
          <w:lang w:val="en-US" w:eastAsia="zh-CN"/>
        </w:rPr>
        <w:t>表</w:t>
      </w:r>
      <w:r>
        <w:rPr>
          <w:rFonts w:hint="eastAsia" w:ascii="Times New Roman" w:hAnsi="Times New Roman" w:cs="Times New Roman"/>
          <w:b/>
          <w:bCs/>
          <w:kern w:val="0"/>
          <w:sz w:val="21"/>
          <w:szCs w:val="21"/>
          <w:highlight w:val="none"/>
          <w:lang w:val="en-US" w:eastAsia="zh-CN"/>
        </w:rPr>
        <w:t>2.3-1</w:t>
      </w:r>
      <w:r>
        <w:rPr>
          <w:rFonts w:hint="default" w:ascii="Times New Roman" w:hAnsi="Times New Roman" w:eastAsia="宋体" w:cs="Times New Roman"/>
          <w:b/>
          <w:bCs/>
          <w:kern w:val="0"/>
          <w:sz w:val="21"/>
          <w:szCs w:val="21"/>
          <w:highlight w:val="none"/>
          <w:lang w:val="en-US" w:eastAsia="zh-CN"/>
        </w:rPr>
        <w:t xml:space="preserve">  主要技术指标表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5"/>
        <w:gridCol w:w="2677"/>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项目</w:t>
            </w:r>
          </w:p>
        </w:tc>
        <w:tc>
          <w:tcPr>
            <w:tcW w:w="1448"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单位</w:t>
            </w:r>
          </w:p>
        </w:tc>
        <w:tc>
          <w:tcPr>
            <w:tcW w:w="1330"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工程数量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起讫点桩号</w:t>
            </w:r>
          </w:p>
        </w:tc>
        <w:tc>
          <w:tcPr>
            <w:tcW w:w="1448"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eastAsia="zh-CN"/>
              </w:rPr>
            </w:pPr>
          </w:p>
        </w:tc>
        <w:tc>
          <w:tcPr>
            <w:tcW w:w="1330"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K0+000～K3+830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1"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val="en-US" w:eastAsia="zh-CN"/>
              </w:rPr>
              <w:t>设计速度</w:t>
            </w:r>
          </w:p>
        </w:tc>
        <w:tc>
          <w:tcPr>
            <w:tcW w:w="1448"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val="en-US" w:eastAsia="zh-CN"/>
              </w:rPr>
              <w:t>km/h</w:t>
            </w:r>
          </w:p>
        </w:tc>
        <w:tc>
          <w:tcPr>
            <w:tcW w:w="1330"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val="en-US" w:eastAsia="zh-CN"/>
              </w:rPr>
              <w:t>路线长度</w:t>
            </w:r>
          </w:p>
        </w:tc>
        <w:tc>
          <w:tcPr>
            <w:tcW w:w="1448"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val="en-US" w:eastAsia="zh-CN"/>
              </w:rPr>
              <w:t>km</w:t>
            </w:r>
          </w:p>
        </w:tc>
        <w:tc>
          <w:tcPr>
            <w:tcW w:w="1330"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最大纵坡</w:t>
            </w:r>
          </w:p>
        </w:tc>
        <w:tc>
          <w:tcPr>
            <w:tcW w:w="1448"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%/处</w:t>
            </w:r>
          </w:p>
        </w:tc>
        <w:tc>
          <w:tcPr>
            <w:tcW w:w="1330"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桥梁</w:t>
            </w:r>
          </w:p>
        </w:tc>
        <w:tc>
          <w:tcPr>
            <w:tcW w:w="1448"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m/座</w:t>
            </w:r>
          </w:p>
        </w:tc>
        <w:tc>
          <w:tcPr>
            <w:tcW w:w="1330"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294/2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涵洞</w:t>
            </w:r>
          </w:p>
        </w:tc>
        <w:tc>
          <w:tcPr>
            <w:tcW w:w="1448"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m/道</w:t>
            </w:r>
          </w:p>
        </w:tc>
        <w:tc>
          <w:tcPr>
            <w:tcW w:w="1330"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402/12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平面交叉</w:t>
            </w:r>
          </w:p>
        </w:tc>
        <w:tc>
          <w:tcPr>
            <w:tcW w:w="1448"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处</w:t>
            </w:r>
          </w:p>
        </w:tc>
        <w:tc>
          <w:tcPr>
            <w:tcW w:w="1330" w:type="pct"/>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7</w:t>
            </w:r>
          </w:p>
        </w:tc>
      </w:tr>
    </w:tbl>
    <w:p>
      <w:pPr>
        <w:bidi w:val="0"/>
        <w:rPr>
          <w:rFonts w:hint="default"/>
          <w:lang w:val="en-US" w:eastAsia="zh-CN"/>
        </w:rPr>
      </w:pP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2.3.2.建设规模</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本项目位于渠县临巴镇，起点位于临巴镇北侧福善村北侧，终点位于临巴镇幸福大道。路线全长3.83km，按二级公路标准设计，设计时速60km，桥梁194m/2座，涵洞398m/12道。</w:t>
      </w:r>
    </w:p>
    <w:p>
      <w:pPr>
        <w:pStyle w:val="4"/>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1"/>
        <w:rPr>
          <w:rFonts w:hint="default" w:ascii="Times New Roman" w:hAnsi="Times New Roman" w:cs="Times New Roman"/>
          <w:b/>
          <w:sz w:val="24"/>
          <w:szCs w:val="24"/>
          <w:lang w:val="en-US" w:eastAsia="zh-CN"/>
        </w:rPr>
      </w:pPr>
      <w:bookmarkStart w:id="70" w:name="_Toc18696"/>
      <w:r>
        <w:rPr>
          <w:rFonts w:hint="default" w:ascii="Times New Roman" w:hAnsi="Times New Roman" w:cs="Times New Roman"/>
          <w:b/>
          <w:sz w:val="24"/>
          <w:szCs w:val="24"/>
          <w:lang w:val="en-US" w:eastAsia="zh-CN"/>
        </w:rPr>
        <w:t>2.4.交通预测量</w:t>
      </w:r>
      <w:bookmarkEnd w:id="70"/>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根据设计资料，对本项目交通量进行了预测，交通量预测结果建表2.4-1</w:t>
      </w:r>
    </w:p>
    <w:p>
      <w:pPr>
        <w:bidi w:val="0"/>
        <w:jc w:val="center"/>
        <w:rPr>
          <w:rFonts w:hint="default" w:ascii="Times New Roman" w:hAnsi="Times New Roman" w:cs="Times New Roman"/>
          <w:b/>
          <w:bCs/>
          <w:lang w:val="en-US" w:eastAsia="zh-CN"/>
        </w:rPr>
      </w:pPr>
      <w:r>
        <w:rPr>
          <w:rFonts w:hint="default" w:ascii="Times New Roman" w:hAnsi="Times New Roman" w:cs="Times New Roman"/>
          <w:b/>
          <w:bCs/>
          <w:sz w:val="21"/>
          <w:szCs w:val="21"/>
          <w:lang w:val="en-US" w:eastAsia="zh-CN"/>
        </w:rPr>
        <w:t>表2.4-1 交通量预测汇总表 单位：pcu/d</w:t>
      </w:r>
    </w:p>
    <w:tbl>
      <w:tblPr>
        <w:tblStyle w:val="17"/>
        <w:tblW w:w="488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3202"/>
        <w:gridCol w:w="2001"/>
        <w:gridCol w:w="2004"/>
        <w:gridCol w:w="209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2794" w:type="dxa"/>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路段</w:t>
            </w:r>
          </w:p>
        </w:tc>
        <w:tc>
          <w:tcPr>
            <w:tcW w:w="1746"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202</w:t>
            </w:r>
            <w:r>
              <w:rPr>
                <w:rFonts w:hint="default" w:ascii="Times New Roman" w:hAnsi="Times New Roman" w:cs="Times New Roman"/>
                <w:sz w:val="21"/>
                <w:szCs w:val="21"/>
                <w:lang w:val="en-US" w:eastAsia="zh-CN"/>
              </w:rPr>
              <w:t>5</w:t>
            </w:r>
          </w:p>
        </w:tc>
        <w:tc>
          <w:tcPr>
            <w:tcW w:w="1748"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20</w:t>
            </w:r>
            <w:r>
              <w:rPr>
                <w:rFonts w:hint="default" w:ascii="Times New Roman" w:hAnsi="Times New Roman" w:cs="Times New Roman"/>
                <w:sz w:val="21"/>
                <w:szCs w:val="21"/>
                <w:lang w:val="en-US" w:eastAsia="zh-CN"/>
              </w:rPr>
              <w:t>31</w:t>
            </w:r>
          </w:p>
        </w:tc>
        <w:tc>
          <w:tcPr>
            <w:tcW w:w="1826"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203</w:t>
            </w:r>
            <w:r>
              <w:rPr>
                <w:rFonts w:hint="default" w:ascii="Times New Roman" w:hAnsi="Times New Roman" w:cs="Times New Roman"/>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794" w:type="dxa"/>
            <w:tcBorders>
              <w:top w:val="nil"/>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S306 临巴段</w:t>
            </w:r>
          </w:p>
        </w:tc>
        <w:tc>
          <w:tcPr>
            <w:tcW w:w="1746"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5586</w:t>
            </w:r>
          </w:p>
        </w:tc>
        <w:tc>
          <w:tcPr>
            <w:tcW w:w="1748" w:type="dxa"/>
            <w:vAlign w:val="center"/>
          </w:tcPr>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6668</w:t>
            </w:r>
          </w:p>
        </w:tc>
        <w:tc>
          <w:tcPr>
            <w:tcW w:w="1826"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7721</w:t>
            </w:r>
          </w:p>
        </w:tc>
      </w:tr>
    </w:tbl>
    <w:p>
      <w:pPr>
        <w:bidi w:val="0"/>
        <w:jc w:val="center"/>
        <w:rPr>
          <w:rFonts w:hint="default" w:ascii="Times New Roman" w:hAnsi="Times New Roman" w:cs="Times New Roman"/>
          <w:b/>
          <w:bCs/>
          <w:sz w:val="21"/>
          <w:szCs w:val="21"/>
          <w:lang w:val="en-US" w:eastAsia="zh-CN"/>
        </w:rPr>
      </w:pPr>
    </w:p>
    <w:p>
      <w:pPr>
        <w:bidi w:val="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表2.4-2 本工程车型比和昼夜比  （单位：%）</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99"/>
        <w:gridCol w:w="1600"/>
        <w:gridCol w:w="1597"/>
        <w:gridCol w:w="1522"/>
        <w:gridCol w:w="1449"/>
        <w:gridCol w:w="14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401" w:type="dxa"/>
            <w:vMerge w:val="restart"/>
            <w:tcBorders>
              <w:tl2br w:val="nil"/>
              <w:tr2bl w:val="nil"/>
            </w:tcBorders>
            <w:noWrap w:val="0"/>
            <w:vAlign w:val="center"/>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道路等级</w:t>
            </w:r>
          </w:p>
        </w:tc>
        <w:tc>
          <w:tcPr>
            <w:tcW w:w="1402" w:type="dxa"/>
            <w:vMerge w:val="restart"/>
            <w:tcBorders>
              <w:tl2br w:val="nil"/>
              <w:tr2bl w:val="nil"/>
            </w:tcBorders>
            <w:noWrap w:val="0"/>
            <w:vAlign w:val="top"/>
            <mc:AlternateContent>
              <mc:Choice Requires="wpsCustomData">
                <wpsCustomData:diagonals>
                  <wpsCustomData:diagonal from="10000" to="30000">
                    <wpsCustomData:border w:val="single" w:color="auto" w:sz="8" w:space="0"/>
                  </wpsCustomData:diagonal>
                </wpsCustomData:diagonals>
              </mc:Choice>
            </mc:AlternateContent>
          </w:tcPr>
          <w:p>
            <w:pPr>
              <w:snapToGrid w:val="0"/>
              <w:spacing w:line="240" w:lineRule="auto"/>
              <w:jc w:val="left"/>
              <w:rPr>
                <w:rFonts w:hint="default" w:ascii="Times New Roman" w:hAnsi="Times New Roman" w:cs="Times New Roman"/>
                <w:b w:val="0"/>
                <w:bCs/>
                <w:kern w:val="0"/>
                <w:sz w:val="21"/>
                <w:szCs w:val="21"/>
              </w:rPr>
            </w:pPr>
          </w:p>
          <w:p>
            <w:pPr>
              <w:snapToGrid w:val="0"/>
              <w:spacing w:line="240" w:lineRule="auto"/>
              <w:jc w:val="left"/>
              <mc:AlternateContent>
                <mc:Choice Requires="wpsCustomData">
                  <wpsCustomData:diagonalParaType/>
                </mc:Choice>
              </mc:AlternateContent>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年份</w:t>
            </w:r>
          </w:p>
          <w:p>
            <w:pPr>
              <w:jc w:val="right"/>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车型</w:t>
            </w:r>
          </w:p>
          <w:p>
            <w:pPr>
              <w:jc w:val="left"/>
              <w:rPr>
                <w:rFonts w:hint="default" w:ascii="Times New Roman" w:hAnsi="Times New Roman" w:cs="Times New Roman"/>
                <w:b w:val="0"/>
                <w:bCs/>
                <w:kern w:val="0"/>
                <w:sz w:val="21"/>
                <w:szCs w:val="21"/>
              </w:rPr>
            </w:pPr>
          </w:p>
        </w:tc>
        <w:tc>
          <w:tcPr>
            <w:tcW w:w="4001" w:type="dxa"/>
            <w:gridSpan w:val="3"/>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车型比</w:t>
            </w:r>
            <w:r>
              <w:rPr>
                <w:rFonts w:hint="eastAsia" w:ascii="Times New Roman" w:hAnsi="Times New Roman" w:cs="Times New Roman"/>
                <w:b w:val="0"/>
                <w:bCs/>
                <w:kern w:val="0"/>
                <w:sz w:val="21"/>
                <w:szCs w:val="21"/>
                <w:lang w:eastAsia="zh-CN"/>
              </w:rPr>
              <w:t>（</w:t>
            </w:r>
            <w:r>
              <w:rPr>
                <w:rFonts w:hint="default" w:ascii="Times New Roman" w:hAnsi="Times New Roman" w:cs="Times New Roman"/>
                <w:b w:val="0"/>
                <w:bCs/>
                <w:kern w:val="0"/>
                <w:sz w:val="21"/>
                <w:szCs w:val="21"/>
              </w:rPr>
              <w:t>%</w:t>
            </w:r>
            <w:r>
              <w:rPr>
                <w:rFonts w:hint="eastAsia" w:ascii="Times New Roman" w:hAnsi="Times New Roman" w:cs="Times New Roman"/>
                <w:b w:val="0"/>
                <w:bCs/>
                <w:kern w:val="0"/>
                <w:sz w:val="21"/>
                <w:szCs w:val="21"/>
                <w:lang w:eastAsia="zh-CN"/>
              </w:rPr>
              <w:t>）</w:t>
            </w:r>
          </w:p>
        </w:tc>
        <w:tc>
          <w:tcPr>
            <w:tcW w:w="1292" w:type="dxa"/>
            <w:vMerge w:val="restar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昼夜比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1401"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c>
          <w:tcPr>
            <w:tcW w:w="1402"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c>
          <w:tcPr>
            <w:tcW w:w="1399" w:type="dxa"/>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小型车</w:t>
            </w:r>
          </w:p>
        </w:tc>
        <w:tc>
          <w:tcPr>
            <w:tcW w:w="1333" w:type="dxa"/>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中型车</w:t>
            </w:r>
          </w:p>
        </w:tc>
        <w:tc>
          <w:tcPr>
            <w:tcW w:w="1269" w:type="dxa"/>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大型车</w:t>
            </w:r>
          </w:p>
        </w:tc>
        <w:tc>
          <w:tcPr>
            <w:tcW w:w="1292"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401" w:type="dxa"/>
            <w:vMerge w:val="restart"/>
            <w:tcBorders>
              <w:tl2br w:val="nil"/>
              <w:tr2bl w:val="nil"/>
            </w:tcBorders>
            <w:noWrap w:val="0"/>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本项目</w:t>
            </w:r>
          </w:p>
        </w:tc>
        <w:tc>
          <w:tcPr>
            <w:tcW w:w="1402" w:type="dxa"/>
            <w:tcBorders>
              <w:tl2br w:val="nil"/>
              <w:tr2bl w:val="nil"/>
            </w:tcBorders>
            <w:noWrap w:val="0"/>
            <w:vAlign w:val="top"/>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2025年</w:t>
            </w:r>
          </w:p>
        </w:tc>
        <w:tc>
          <w:tcPr>
            <w:tcW w:w="13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63.68</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12.30</w:t>
            </w:r>
          </w:p>
        </w:tc>
        <w:tc>
          <w:tcPr>
            <w:tcW w:w="12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24.02</w:t>
            </w:r>
          </w:p>
        </w:tc>
        <w:tc>
          <w:tcPr>
            <w:tcW w:w="1292" w:type="dxa"/>
            <w:vMerge w:val="restar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lang w:val="en-US" w:eastAsia="zh-CN"/>
              </w:rPr>
              <w:t>8</w:t>
            </w:r>
            <w:r>
              <w:rPr>
                <w:rFonts w:hint="default" w:ascii="Times New Roman" w:hAnsi="Times New Roman" w:cs="Times New Roman"/>
                <w:b w:val="0"/>
                <w:bCs/>
                <w:kern w:val="0"/>
                <w:sz w:val="21"/>
                <w:szCs w:val="21"/>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401" w:type="dxa"/>
            <w:vMerge w:val="continue"/>
            <w:tcBorders>
              <w:tl2br w:val="nil"/>
              <w:tr2bl w:val="nil"/>
            </w:tcBorders>
            <w:noWrap w:val="0"/>
            <w:vAlign w:val="center"/>
          </w:tcPr>
          <w:p>
            <w:pPr>
              <w:jc w:val="center"/>
              <w:rPr>
                <w:rFonts w:hint="default" w:ascii="Times New Roman" w:hAnsi="Times New Roman" w:cs="Times New Roman"/>
                <w:b w:val="0"/>
                <w:bCs/>
                <w:kern w:val="0"/>
                <w:sz w:val="21"/>
                <w:szCs w:val="21"/>
                <w:lang w:eastAsia="zh-CN"/>
              </w:rPr>
            </w:pPr>
          </w:p>
        </w:tc>
        <w:tc>
          <w:tcPr>
            <w:tcW w:w="1402" w:type="dxa"/>
            <w:tcBorders>
              <w:tl2br w:val="nil"/>
              <w:tr2bl w:val="nil"/>
            </w:tcBorders>
            <w:noWrap w:val="0"/>
            <w:vAlign w:val="top"/>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2031年</w:t>
            </w:r>
          </w:p>
        </w:tc>
        <w:tc>
          <w:tcPr>
            <w:tcW w:w="1399"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64.32</w:t>
            </w:r>
          </w:p>
        </w:tc>
        <w:tc>
          <w:tcPr>
            <w:tcW w:w="1333"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11.98</w:t>
            </w:r>
          </w:p>
        </w:tc>
        <w:tc>
          <w:tcPr>
            <w:tcW w:w="12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23.70</w:t>
            </w:r>
          </w:p>
        </w:tc>
        <w:tc>
          <w:tcPr>
            <w:tcW w:w="1292"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1401" w:type="dxa"/>
            <w:vMerge w:val="continue"/>
            <w:tcBorders>
              <w:tl2br w:val="nil"/>
              <w:tr2bl w:val="nil"/>
            </w:tcBorders>
            <w:noWrap w:val="0"/>
            <w:vAlign w:val="center"/>
          </w:tcPr>
          <w:p>
            <w:pPr>
              <w:jc w:val="center"/>
              <w:rPr>
                <w:rFonts w:hint="default" w:ascii="Times New Roman" w:hAnsi="Times New Roman" w:cs="Times New Roman"/>
                <w:b w:val="0"/>
                <w:bCs/>
                <w:kern w:val="0"/>
                <w:sz w:val="21"/>
                <w:szCs w:val="21"/>
                <w:lang w:eastAsia="zh-CN"/>
              </w:rPr>
            </w:pPr>
          </w:p>
        </w:tc>
        <w:tc>
          <w:tcPr>
            <w:tcW w:w="1402" w:type="dxa"/>
            <w:tcBorders>
              <w:tl2br w:val="nil"/>
              <w:tr2bl w:val="nil"/>
            </w:tcBorders>
            <w:noWrap w:val="0"/>
            <w:vAlign w:val="top"/>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2039年</w:t>
            </w:r>
          </w:p>
        </w:tc>
        <w:tc>
          <w:tcPr>
            <w:tcW w:w="1399"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64.93</w:t>
            </w:r>
          </w:p>
        </w:tc>
        <w:tc>
          <w:tcPr>
            <w:tcW w:w="1333"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11.65</w:t>
            </w:r>
          </w:p>
        </w:tc>
        <w:tc>
          <w:tcPr>
            <w:tcW w:w="12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23.42</w:t>
            </w:r>
          </w:p>
        </w:tc>
        <w:tc>
          <w:tcPr>
            <w:tcW w:w="1292"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r>
    </w:tbl>
    <w:p>
      <w:pPr>
        <w:bidi w:val="0"/>
        <w:rPr>
          <w:rFonts w:hint="default"/>
          <w:lang w:val="en-US" w:eastAsia="zh-CN"/>
        </w:rPr>
      </w:pPr>
      <w:bookmarkStart w:id="71" w:name="_Toc20069"/>
    </w:p>
    <w:p>
      <w:pPr>
        <w:pStyle w:val="4"/>
        <w:bidi w:val="0"/>
        <w:rPr>
          <w:rFonts w:hint="default"/>
          <w:lang w:val="en-US" w:eastAsia="zh-CN"/>
        </w:rPr>
      </w:pPr>
      <w:r>
        <w:rPr>
          <w:rFonts w:hint="default"/>
          <w:lang w:val="en-US" w:eastAsia="zh-CN"/>
        </w:rPr>
        <w:t>2.5.主体工程建设方案</w:t>
      </w:r>
      <w:bookmarkEnd w:id="71"/>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2.5.1.道路工程</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按二级公路建设；起于临巴镇北侧福善村北侧（K0+000），止于临巴镇幸福大道（K3+830），路线全长3830m；路基宽度12m；0.5m土路肩+2m硬路肩+2×3.5m行车道+2m硬路肩+0.5m土路肩=12m。沥青混凝土路面，设计使用年限为12年；一般路段：4cm厚细粒式SBS改性沥青混凝土AC-13C上面层+6cm 厚中粒式沥青混凝土AC-20C下面层+40cm厚水泥稳定碎石基层+15cm 厚级配碎石垫层（岩基取消该层），桥梁路段：4cm厚细粒式SBS改性沥青混凝土AC-13C上面层+6cm 厚中粒式沥青混凝土AC-20C下面层+混凝土铺装层。</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根据建设单位提供的可研及初设资料，本项目道路平面方案见下表：</w:t>
      </w:r>
    </w:p>
    <w:p>
      <w:pPr>
        <w:adjustRightInd w:val="0"/>
        <w:snapToGrid w:val="0"/>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表2</w:t>
      </w:r>
      <w:r>
        <w:rPr>
          <w:rFonts w:hint="default" w:ascii="Times New Roman" w:hAnsi="Times New Roman" w:cs="Times New Roman"/>
          <w:b/>
          <w:bCs/>
          <w:sz w:val="21"/>
          <w:szCs w:val="21"/>
          <w:highlight w:val="none"/>
          <w:lang w:val="en-US" w:eastAsia="zh-CN"/>
        </w:rPr>
        <w:t>.5-1</w:t>
      </w:r>
      <w:r>
        <w:rPr>
          <w:rFonts w:hint="default" w:ascii="Times New Roman" w:hAnsi="Times New Roman" w:eastAsia="宋体" w:cs="Times New Roman"/>
          <w:b/>
          <w:bCs/>
          <w:sz w:val="21"/>
          <w:szCs w:val="21"/>
          <w:highlight w:val="none"/>
          <w:lang w:val="en-US" w:eastAsia="zh-CN"/>
        </w:rPr>
        <w:t xml:space="preserve">  道路平面概况表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537"/>
        <w:gridCol w:w="1384"/>
        <w:gridCol w:w="1383"/>
        <w:gridCol w:w="948"/>
        <w:gridCol w:w="1063"/>
        <w:gridCol w:w="1102"/>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道路名称</w:t>
            </w:r>
          </w:p>
        </w:tc>
        <w:tc>
          <w:tcPr>
            <w:tcW w:w="1376"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起点</w:t>
            </w:r>
          </w:p>
        </w:tc>
        <w:tc>
          <w:tcPr>
            <w:tcW w:w="1238"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终点</w:t>
            </w:r>
          </w:p>
        </w:tc>
        <w:tc>
          <w:tcPr>
            <w:tcW w:w="1237"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长度（m）</w:t>
            </w:r>
          </w:p>
        </w:tc>
        <w:tc>
          <w:tcPr>
            <w:tcW w:w="840"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土路肩（m）</w:t>
            </w:r>
          </w:p>
        </w:tc>
        <w:tc>
          <w:tcPr>
            <w:tcW w:w="945"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硬路肩（m）</w:t>
            </w:r>
          </w:p>
        </w:tc>
        <w:tc>
          <w:tcPr>
            <w:tcW w:w="980"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车行道总宽（m）</w:t>
            </w:r>
          </w:p>
        </w:tc>
        <w:tc>
          <w:tcPr>
            <w:tcW w:w="896"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交叉形式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w:t>
            </w:r>
          </w:p>
        </w:tc>
        <w:tc>
          <w:tcPr>
            <w:tcW w:w="1376"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1"/>
                <w:highlight w:val="none"/>
                <w:lang w:val="en-US" w:eastAsia="zh-CN"/>
              </w:rPr>
              <w:t>临巴镇北侧福善村北侧</w:t>
            </w:r>
          </w:p>
        </w:tc>
        <w:tc>
          <w:tcPr>
            <w:tcW w:w="1238"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1"/>
                <w:highlight w:val="none"/>
                <w:lang w:val="en-US" w:eastAsia="zh-CN"/>
              </w:rPr>
              <w:t>临巴镇幸福大道</w:t>
            </w:r>
          </w:p>
        </w:tc>
        <w:tc>
          <w:tcPr>
            <w:tcW w:w="1237"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3830</w:t>
            </w:r>
          </w:p>
        </w:tc>
        <w:tc>
          <w:tcPr>
            <w:tcW w:w="840"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1</w:t>
            </w:r>
          </w:p>
        </w:tc>
        <w:tc>
          <w:tcPr>
            <w:tcW w:w="945"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4</w:t>
            </w:r>
          </w:p>
        </w:tc>
        <w:tc>
          <w:tcPr>
            <w:tcW w:w="980"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7</w:t>
            </w:r>
          </w:p>
        </w:tc>
        <w:tc>
          <w:tcPr>
            <w:tcW w:w="896" w:type="dxa"/>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平面交叉</w:t>
            </w:r>
          </w:p>
        </w:tc>
      </w:tr>
    </w:tbl>
    <w:p>
      <w:pPr>
        <w:adjustRightInd w:val="0"/>
        <w:snapToGrid w:val="0"/>
        <w:spacing w:line="360" w:lineRule="auto"/>
        <w:ind w:firstLine="480" w:firstLineChars="200"/>
        <w:jc w:val="center"/>
        <w:rPr>
          <w:rFonts w:hint="default" w:ascii="Times New Roman" w:hAnsi="Times New Roman" w:eastAsia="宋体" w:cs="Times New Roman"/>
          <w:b w:val="0"/>
          <w:bCs w:val="0"/>
          <w:szCs w:val="21"/>
          <w:highlight w:val="none"/>
          <w:lang w:val="en-US" w:eastAsia="zh-CN"/>
        </w:rPr>
      </w:pPr>
    </w:p>
    <w:p>
      <w:pPr>
        <w:adjustRightInd w:val="0"/>
        <w:snapToGrid w:val="0"/>
        <w:spacing w:line="360" w:lineRule="auto"/>
        <w:ind w:firstLine="0" w:firstLineChars="0"/>
        <w:jc w:val="center"/>
        <w:rPr>
          <w:rFonts w:hint="default" w:ascii="Times New Roman" w:hAnsi="Times New Roman" w:eastAsia="宋体" w:cs="Times New Roman"/>
          <w:b w:val="0"/>
          <w:bCs w:val="0"/>
          <w:szCs w:val="21"/>
          <w:highlight w:val="none"/>
          <w:lang w:eastAsia="zh-CN"/>
        </w:rPr>
      </w:pPr>
      <w:r>
        <w:rPr>
          <w:rFonts w:hint="default" w:ascii="Times New Roman" w:hAnsi="Times New Roman" w:eastAsia="宋体" w:cs="Times New Roman"/>
          <w:b w:val="0"/>
          <w:bCs w:val="0"/>
          <w:szCs w:val="21"/>
          <w:highlight w:val="none"/>
          <w:lang w:eastAsia="zh-CN"/>
        </w:rPr>
        <w:drawing>
          <wp:inline distT="0" distB="0" distL="114300" distR="114300">
            <wp:extent cx="5177790" cy="2185670"/>
            <wp:effectExtent l="0" t="0" r="3810" b="5080"/>
            <wp:docPr id="5" name="图片 62" descr="横断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2" descr="横断面图"/>
                    <pic:cNvPicPr>
                      <a:picLocks noChangeAspect="1"/>
                    </pic:cNvPicPr>
                  </pic:nvPicPr>
                  <pic:blipFill>
                    <a:blip r:embed="rId18"/>
                    <a:stretch>
                      <a:fillRect/>
                    </a:stretch>
                  </pic:blipFill>
                  <pic:spPr>
                    <a:xfrm>
                      <a:off x="0" y="0"/>
                      <a:ext cx="5177790" cy="2185670"/>
                    </a:xfrm>
                    <a:prstGeom prst="rect">
                      <a:avLst/>
                    </a:prstGeom>
                    <a:noFill/>
                    <a:ln>
                      <a:noFill/>
                    </a:ln>
                  </pic:spPr>
                </pic:pic>
              </a:graphicData>
            </a:graphic>
          </wp:inline>
        </w:drawing>
      </w:r>
    </w:p>
    <w:p>
      <w:pPr>
        <w:adjustRightInd w:val="0"/>
        <w:snapToGrid w:val="0"/>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图2</w:t>
      </w:r>
      <w:r>
        <w:rPr>
          <w:rFonts w:hint="default" w:ascii="Times New Roman" w:hAnsi="Times New Roman" w:cs="Times New Roman"/>
          <w:b/>
          <w:bCs/>
          <w:sz w:val="21"/>
          <w:szCs w:val="21"/>
          <w:highlight w:val="none"/>
          <w:lang w:val="en-US" w:eastAsia="zh-CN"/>
        </w:rPr>
        <w:t>.5-</w:t>
      </w:r>
      <w:r>
        <w:rPr>
          <w:rFonts w:hint="default" w:ascii="Times New Roman" w:hAnsi="Times New Roman" w:eastAsia="宋体" w:cs="Times New Roman"/>
          <w:b/>
          <w:bCs/>
          <w:sz w:val="21"/>
          <w:szCs w:val="21"/>
          <w:highlight w:val="none"/>
          <w:lang w:val="en-US" w:eastAsia="zh-CN"/>
        </w:rPr>
        <w:t>1 道路横断面图</w:t>
      </w: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2.5.2.改移道路</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于本项目主线平纵填挖较大，沿线地方道路网络格局受到一定程度影响，需要通过设置局部改移道路，恢复沿线路网系统。本项目改线主要针对平面占用旧路及纵面高程相差过大的地方道路进行改移，除此之外的旧路主要通过既有道路平交口改造或设置下穿通道恢复交通。本项目共涉及改移道路10段，均为等外路。改移道路长度共1081米。其中8处进行了平纵设计，其余两处未进行平纵设计。</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本次改移道路均为连接乡村的农村公路，旧路宽在3.5m左右，本次设计维持原道路技术标准采用小交通量四级公路技术标准，路基宽度及断面参照单车道四级公路采用4.5m，设计速度15km/h，路面采用水泥砼路面。</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改移道路路面情况如下：</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水泥砼路面结构采用：</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20cm水泥混凝土面层</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20cm 5%水泥稳定碎石基层</w:t>
      </w:r>
    </w:p>
    <w:p>
      <w:pPr>
        <w:pStyle w:val="2"/>
        <w:rPr>
          <w:rFonts w:hint="default" w:ascii="Times New Roman" w:hAnsi="Times New Roman" w:eastAsia="宋体" w:cs="Times New Roman"/>
          <w:b w:val="0"/>
          <w:bCs w:val="0"/>
          <w:sz w:val="24"/>
          <w:szCs w:val="24"/>
          <w:highlight w:val="none"/>
          <w:lang w:val="en-US" w:eastAsia="zh-CN"/>
        </w:rPr>
      </w:pPr>
    </w:p>
    <w:p>
      <w:pPr>
        <w:rPr>
          <w:rFonts w:hint="default" w:ascii="Times New Roman" w:hAnsi="Times New Roman" w:eastAsia="宋体" w:cs="Times New Roman"/>
          <w:b w:val="0"/>
          <w:bCs w:val="0"/>
          <w:sz w:val="24"/>
          <w:szCs w:val="24"/>
          <w:highlight w:val="none"/>
          <w:lang w:val="en-US" w:eastAsia="zh-CN"/>
        </w:rPr>
      </w:pPr>
    </w:p>
    <w:p>
      <w:pPr>
        <w:pStyle w:val="2"/>
        <w:rPr>
          <w:rFonts w:hint="default"/>
          <w:lang w:val="en-US" w:eastAsia="zh-CN"/>
        </w:rPr>
      </w:pPr>
    </w:p>
    <w:p>
      <w:pPr>
        <w:pStyle w:val="2"/>
        <w:rPr>
          <w:rFonts w:hint="default" w:ascii="Times New Roman" w:hAnsi="Times New Roman" w:eastAsia="宋体" w:cs="Times New Roman"/>
          <w:b w:val="0"/>
          <w:bCs w:val="0"/>
          <w:sz w:val="24"/>
          <w:szCs w:val="24"/>
          <w:highlight w:val="none"/>
          <w:lang w:val="en-US" w:eastAsia="zh-CN"/>
        </w:rPr>
      </w:pPr>
    </w:p>
    <w:p>
      <w:pPr>
        <w:rPr>
          <w:rFonts w:hint="default"/>
        </w:rPr>
      </w:pPr>
    </w:p>
    <w:p>
      <w:pPr>
        <w:adjustRightInd w:val="0"/>
        <w:snapToGrid w:val="0"/>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表2.5-2 改移地方道路一览表</w:t>
      </w:r>
    </w:p>
    <w:tbl>
      <w:tblPr>
        <w:tblStyle w:val="17"/>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698"/>
        <w:gridCol w:w="1223"/>
        <w:gridCol w:w="1223"/>
        <w:gridCol w:w="1698"/>
        <w:gridCol w:w="1223"/>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序   号</w:t>
            </w:r>
          </w:p>
        </w:tc>
        <w:tc>
          <w:tcPr>
            <w:tcW w:w="141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改移道路对应主线桩号</w:t>
            </w:r>
          </w:p>
        </w:tc>
        <w:tc>
          <w:tcPr>
            <w:tcW w:w="141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原道路等级</w:t>
            </w:r>
          </w:p>
        </w:tc>
        <w:tc>
          <w:tcPr>
            <w:tcW w:w="141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路面类型</w:t>
            </w:r>
          </w:p>
        </w:tc>
        <w:tc>
          <w:tcPr>
            <w:tcW w:w="1410" w:type="dxa"/>
            <w:shd w:val="clear" w:color="auto" w:fill="auto"/>
            <w:noWrap/>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改移长度（m）</w:t>
            </w:r>
          </w:p>
        </w:tc>
        <w:tc>
          <w:tcPr>
            <w:tcW w:w="141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路面宽度（m）</w:t>
            </w:r>
          </w:p>
        </w:tc>
        <w:tc>
          <w:tcPr>
            <w:tcW w:w="141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路基宽度（m）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1</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K0+223</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176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2</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K0+495</w:t>
            </w:r>
          </w:p>
        </w:tc>
        <w:tc>
          <w:tcPr>
            <w:tcW w:w="1410" w:type="dxa"/>
            <w:shd w:val="clear" w:color="auto" w:fill="auto"/>
            <w:noWrap w:val="0"/>
            <w:vAlign w:val="top"/>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171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3</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K0+977</w:t>
            </w:r>
          </w:p>
        </w:tc>
        <w:tc>
          <w:tcPr>
            <w:tcW w:w="1410" w:type="dxa"/>
            <w:shd w:val="clear" w:color="auto" w:fill="auto"/>
            <w:noWrap w:val="0"/>
            <w:vAlign w:val="top"/>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236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4</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K1+900</w:t>
            </w:r>
          </w:p>
        </w:tc>
        <w:tc>
          <w:tcPr>
            <w:tcW w:w="1410" w:type="dxa"/>
            <w:shd w:val="clear" w:color="auto" w:fill="auto"/>
            <w:noWrap w:val="0"/>
            <w:vAlign w:val="top"/>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75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5</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K2+141</w:t>
            </w:r>
          </w:p>
        </w:tc>
        <w:tc>
          <w:tcPr>
            <w:tcW w:w="1410" w:type="dxa"/>
            <w:shd w:val="clear" w:color="auto" w:fill="auto"/>
            <w:noWrap w:val="0"/>
            <w:vAlign w:val="top"/>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92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6</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K3+210</w:t>
            </w:r>
          </w:p>
        </w:tc>
        <w:tc>
          <w:tcPr>
            <w:tcW w:w="1410" w:type="dxa"/>
            <w:shd w:val="clear" w:color="auto" w:fill="auto"/>
            <w:noWrap w:val="0"/>
            <w:vAlign w:val="top"/>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60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7</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K3+340</w:t>
            </w:r>
          </w:p>
        </w:tc>
        <w:tc>
          <w:tcPr>
            <w:tcW w:w="1410" w:type="dxa"/>
            <w:shd w:val="clear" w:color="auto" w:fill="auto"/>
            <w:noWrap w:val="0"/>
            <w:vAlign w:val="top"/>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46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8</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K3+460</w:t>
            </w:r>
          </w:p>
        </w:tc>
        <w:tc>
          <w:tcPr>
            <w:tcW w:w="1410" w:type="dxa"/>
            <w:shd w:val="clear" w:color="auto" w:fill="auto"/>
            <w:noWrap w:val="0"/>
            <w:vAlign w:val="top"/>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100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9</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K1+920</w:t>
            </w:r>
          </w:p>
        </w:tc>
        <w:tc>
          <w:tcPr>
            <w:tcW w:w="1410" w:type="dxa"/>
            <w:shd w:val="clear" w:color="auto" w:fill="auto"/>
            <w:noWrap w:val="0"/>
            <w:vAlign w:val="top"/>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10</w:t>
            </w:r>
          </w:p>
        </w:tc>
        <w:tc>
          <w:tcPr>
            <w:tcW w:w="1410" w:type="dxa"/>
            <w:shd w:val="clear" w:color="auto" w:fill="auto"/>
            <w:noWrap/>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K2+220</w:t>
            </w:r>
          </w:p>
        </w:tc>
        <w:tc>
          <w:tcPr>
            <w:tcW w:w="1410" w:type="dxa"/>
            <w:shd w:val="clear" w:color="auto" w:fill="auto"/>
            <w:noWrap w:val="0"/>
            <w:vAlign w:val="top"/>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等外</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水泥砼</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80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3.5 </w:t>
            </w:r>
          </w:p>
        </w:tc>
        <w:tc>
          <w:tcPr>
            <w:tcW w:w="1410" w:type="dxa"/>
            <w:shd w:val="clear" w:color="auto" w:fill="auto"/>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p>
        </w:tc>
        <w:tc>
          <w:tcPr>
            <w:tcW w:w="1410" w:type="dxa"/>
            <w:shd w:val="clear" w:color="auto" w:fill="auto"/>
            <w:noWrap/>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合计</w:t>
            </w:r>
          </w:p>
        </w:tc>
        <w:tc>
          <w:tcPr>
            <w:tcW w:w="1410" w:type="dxa"/>
            <w:shd w:val="clear" w:color="auto" w:fill="auto"/>
            <w:noWrap w:val="0"/>
            <w:vAlign w:val="top"/>
          </w:tcPr>
          <w:p>
            <w:pPr>
              <w:widowControl/>
              <w:adjustRightInd w:val="0"/>
              <w:snapToGrid w:val="0"/>
              <w:jc w:val="center"/>
              <w:rPr>
                <w:rFonts w:hint="default" w:ascii="Times New Roman" w:hAnsi="Times New Roman" w:cs="Times New Roman"/>
                <w:color w:val="000000"/>
                <w:kern w:val="0"/>
                <w:sz w:val="21"/>
                <w:szCs w:val="21"/>
              </w:rPr>
            </w:pPr>
          </w:p>
        </w:tc>
        <w:tc>
          <w:tcPr>
            <w:tcW w:w="141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p>
        </w:tc>
        <w:tc>
          <w:tcPr>
            <w:tcW w:w="141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1081</w:t>
            </w:r>
          </w:p>
        </w:tc>
        <w:tc>
          <w:tcPr>
            <w:tcW w:w="141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p>
        </w:tc>
        <w:tc>
          <w:tcPr>
            <w:tcW w:w="1410" w:type="dxa"/>
            <w:shd w:val="clear" w:color="auto" w:fill="auto"/>
            <w:noWrap w:val="0"/>
            <w:vAlign w:val="center"/>
          </w:tcPr>
          <w:p>
            <w:pPr>
              <w:widowControl/>
              <w:adjustRightInd w:val="0"/>
              <w:snapToGrid w:val="0"/>
              <w:jc w:val="center"/>
              <w:rPr>
                <w:rFonts w:hint="default" w:ascii="Times New Roman" w:hAnsi="Times New Roman" w:cs="Times New Roman"/>
                <w:color w:val="000000"/>
                <w:kern w:val="0"/>
                <w:sz w:val="21"/>
                <w:szCs w:val="21"/>
              </w:rPr>
            </w:pPr>
          </w:p>
        </w:tc>
      </w:tr>
    </w:tbl>
    <w:p>
      <w:pPr>
        <w:adjustRightInd w:val="0"/>
        <w:snapToGrid w:val="0"/>
        <w:spacing w:line="360" w:lineRule="auto"/>
        <w:ind w:firstLine="480" w:firstLineChars="200"/>
        <w:rPr>
          <w:rFonts w:hint="default" w:ascii="Times New Roman" w:hAnsi="Times New Roman" w:eastAsia="宋体" w:cs="Times New Roman"/>
          <w:b w:val="0"/>
          <w:bCs w:val="0"/>
          <w:szCs w:val="21"/>
          <w:highlight w:val="none"/>
          <w:lang w:eastAsia="zh-CN"/>
        </w:rPr>
      </w:pP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2.5.3.桥涵工程</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本项目路线长度为3.83km</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全线主线共设大</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中桥梁共2座，总长194m</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占路线全长5.1%。全线共设圆管涵和盖板涵共12道，其中圆管涵5道，总长150m；盖板涵3道，总长112m；通道4道，总长136m。</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桥梁均采用整幅设置，标准断面组成为：</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四合大桥2.0m人行道+8.0m车行道+2.5m人行道=12.0m，长度108m，路桥同宽；</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临巴中桥2.0m人行道+15.0m车行道+2.0m人行道=19.0m，长度88m，路桥同宽。</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拟建圆管涵和盖板涵共12道，其中圆管涵5道，总长150m；盖板涵3道，总长112m；通道4道，总长136m</w:t>
      </w:r>
      <w:r>
        <w:rPr>
          <w:rFonts w:hint="default" w:ascii="Times New Roman" w:hAnsi="Times New Roman" w:cs="Times New Roman"/>
          <w:b w:val="0"/>
          <w:bCs w:val="0"/>
          <w:sz w:val="24"/>
          <w:szCs w:val="24"/>
          <w:highlight w:val="none"/>
          <w:lang w:val="en-US" w:eastAsia="zh-CN"/>
        </w:rPr>
        <w:t>。</w:t>
      </w:r>
    </w:p>
    <w:p>
      <w:pPr>
        <w:adjustRightInd w:val="0"/>
        <w:snapToGrid w:val="0"/>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表2</w:t>
      </w:r>
      <w:r>
        <w:rPr>
          <w:rFonts w:hint="default" w:ascii="Times New Roman" w:hAnsi="Times New Roman" w:cs="Times New Roman"/>
          <w:b/>
          <w:bCs/>
          <w:sz w:val="21"/>
          <w:szCs w:val="21"/>
          <w:highlight w:val="none"/>
          <w:lang w:val="en-US" w:eastAsia="zh-CN"/>
        </w:rPr>
        <w:t>.5-3</w:t>
      </w:r>
      <w:r>
        <w:rPr>
          <w:rFonts w:hint="default" w:ascii="Times New Roman" w:hAnsi="Times New Roman" w:eastAsia="宋体" w:cs="Times New Roman"/>
          <w:b/>
          <w:bCs/>
          <w:sz w:val="21"/>
          <w:szCs w:val="21"/>
          <w:highlight w:val="none"/>
          <w:lang w:val="en-US" w:eastAsia="zh-CN"/>
        </w:rPr>
        <w:t xml:space="preserve"> 桥梁一览表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718"/>
        <w:gridCol w:w="1538"/>
        <w:gridCol w:w="1635"/>
        <w:gridCol w:w="1470"/>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序号</w:t>
            </w:r>
          </w:p>
        </w:tc>
        <w:tc>
          <w:tcPr>
            <w:tcW w:w="1532"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中心桩号</w:t>
            </w:r>
          </w:p>
        </w:tc>
        <w:tc>
          <w:tcPr>
            <w:tcW w:w="1371"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桥名</w:t>
            </w:r>
          </w:p>
        </w:tc>
        <w:tc>
          <w:tcPr>
            <w:tcW w:w="1457"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跨径</w:t>
            </w:r>
          </w:p>
        </w:tc>
        <w:tc>
          <w:tcPr>
            <w:tcW w:w="1308"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交角</w:t>
            </w:r>
          </w:p>
        </w:tc>
        <w:tc>
          <w:tcPr>
            <w:tcW w:w="1789"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1</w:t>
            </w:r>
          </w:p>
        </w:tc>
        <w:tc>
          <w:tcPr>
            <w:tcW w:w="1532"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 xml:space="preserve"> K2+9</w:t>
            </w:r>
            <w:r>
              <w:rPr>
                <w:rFonts w:hint="default" w:ascii="Times New Roman" w:hAnsi="Times New Roman" w:cs="Times New Roman"/>
                <w:b w:val="0"/>
                <w:bCs w:val="0"/>
                <w:szCs w:val="21"/>
                <w:highlight w:val="none"/>
                <w:vertAlign w:val="baseline"/>
                <w:lang w:val="en-US" w:eastAsia="zh-CN"/>
              </w:rPr>
              <w:t>2</w:t>
            </w:r>
            <w:r>
              <w:rPr>
                <w:rFonts w:hint="default" w:ascii="Times New Roman" w:hAnsi="Times New Roman" w:eastAsia="宋体" w:cs="Times New Roman"/>
                <w:b w:val="0"/>
                <w:bCs w:val="0"/>
                <w:szCs w:val="21"/>
                <w:highlight w:val="none"/>
                <w:vertAlign w:val="baseline"/>
                <w:lang w:val="en-US" w:eastAsia="zh-CN"/>
              </w:rPr>
              <w:t>5.0</w:t>
            </w:r>
          </w:p>
        </w:tc>
        <w:tc>
          <w:tcPr>
            <w:tcW w:w="1371"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四合大桥</w:t>
            </w:r>
          </w:p>
        </w:tc>
        <w:tc>
          <w:tcPr>
            <w:tcW w:w="1457"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cs="Times New Roman"/>
                <w:b w:val="0"/>
                <w:bCs w:val="0"/>
                <w:szCs w:val="21"/>
                <w:highlight w:val="none"/>
                <w:vertAlign w:val="baseline"/>
                <w:lang w:val="en-US" w:eastAsia="zh-CN"/>
              </w:rPr>
              <w:t>4×25</w:t>
            </w:r>
          </w:p>
        </w:tc>
        <w:tc>
          <w:tcPr>
            <w:tcW w:w="1308"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90</w:t>
            </w:r>
          </w:p>
        </w:tc>
        <w:tc>
          <w:tcPr>
            <w:tcW w:w="1789"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2</w:t>
            </w:r>
          </w:p>
        </w:tc>
        <w:tc>
          <w:tcPr>
            <w:tcW w:w="1532"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 xml:space="preserve"> K3+</w:t>
            </w:r>
            <w:r>
              <w:rPr>
                <w:rFonts w:hint="default" w:ascii="Times New Roman" w:hAnsi="Times New Roman" w:cs="Times New Roman"/>
                <w:b w:val="0"/>
                <w:bCs w:val="0"/>
                <w:szCs w:val="21"/>
                <w:highlight w:val="none"/>
                <w:vertAlign w:val="baseline"/>
                <w:lang w:val="en-US" w:eastAsia="zh-CN"/>
              </w:rPr>
              <w:t>791.5</w:t>
            </w:r>
          </w:p>
        </w:tc>
        <w:tc>
          <w:tcPr>
            <w:tcW w:w="1371"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cs="Times New Roman"/>
                <w:b w:val="0"/>
                <w:bCs w:val="0"/>
                <w:szCs w:val="21"/>
                <w:highlight w:val="none"/>
                <w:vertAlign w:val="baseline"/>
                <w:lang w:val="en-US" w:eastAsia="zh-CN"/>
              </w:rPr>
              <w:t>临巴</w:t>
            </w:r>
            <w:r>
              <w:rPr>
                <w:rFonts w:hint="default" w:ascii="Times New Roman" w:hAnsi="Times New Roman" w:eastAsia="宋体" w:cs="Times New Roman"/>
                <w:b w:val="0"/>
                <w:bCs w:val="0"/>
                <w:szCs w:val="21"/>
                <w:highlight w:val="none"/>
                <w:vertAlign w:val="baseline"/>
                <w:lang w:val="en-US" w:eastAsia="zh-CN"/>
              </w:rPr>
              <w:t>中桥</w:t>
            </w:r>
          </w:p>
        </w:tc>
        <w:tc>
          <w:tcPr>
            <w:tcW w:w="1457"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cs="Times New Roman"/>
                <w:b w:val="0"/>
                <w:bCs w:val="0"/>
                <w:szCs w:val="21"/>
                <w:highlight w:val="none"/>
                <w:vertAlign w:val="baseline"/>
                <w:lang w:val="en-US" w:eastAsia="zh-CN"/>
              </w:rPr>
              <w:t>3×25</w:t>
            </w:r>
          </w:p>
        </w:tc>
        <w:tc>
          <w:tcPr>
            <w:tcW w:w="1308"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90</w:t>
            </w:r>
          </w:p>
        </w:tc>
        <w:tc>
          <w:tcPr>
            <w:tcW w:w="1789" w:type="dxa"/>
            <w:noWrap w:val="0"/>
            <w:vAlign w:val="center"/>
          </w:tcPr>
          <w:p>
            <w:pPr>
              <w:adjustRightInd w:val="0"/>
              <w:snapToGrid w:val="0"/>
              <w:spacing w:line="240" w:lineRule="auto"/>
              <w:jc w:val="center"/>
              <w:rPr>
                <w:rFonts w:hint="default" w:ascii="Times New Roman" w:hAnsi="Times New Roman" w:eastAsia="宋体" w:cs="Times New Roman"/>
                <w:b w:val="0"/>
                <w:bCs w:val="0"/>
                <w:szCs w:val="21"/>
                <w:highlight w:val="none"/>
                <w:vertAlign w:val="baseline"/>
                <w:lang w:val="en-US" w:eastAsia="zh-CN"/>
              </w:rPr>
            </w:pPr>
            <w:r>
              <w:rPr>
                <w:rFonts w:hint="default" w:ascii="Times New Roman" w:hAnsi="Times New Roman" w:eastAsia="宋体" w:cs="Times New Roman"/>
                <w:b w:val="0"/>
                <w:bCs w:val="0"/>
                <w:szCs w:val="21"/>
                <w:highlight w:val="none"/>
                <w:vertAlign w:val="baseline"/>
                <w:lang w:val="en-US" w:eastAsia="zh-CN"/>
              </w:rPr>
              <w:t>88</w:t>
            </w:r>
          </w:p>
        </w:tc>
      </w:tr>
    </w:tbl>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714240" cy="2717800"/>
            <wp:effectExtent l="0" t="0" r="10160" b="6350"/>
            <wp:docPr id="6" name="图片 63" descr="四合平面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 descr="四合平面布置"/>
                    <pic:cNvPicPr>
                      <a:picLocks noChangeAspect="1"/>
                    </pic:cNvPicPr>
                  </pic:nvPicPr>
                  <pic:blipFill>
                    <a:blip r:embed="rId19"/>
                    <a:stretch>
                      <a:fillRect/>
                    </a:stretch>
                  </pic:blipFill>
                  <pic:spPr>
                    <a:xfrm>
                      <a:off x="0" y="0"/>
                      <a:ext cx="4714240" cy="2717800"/>
                    </a:xfrm>
                    <a:prstGeom prst="rect">
                      <a:avLst/>
                    </a:prstGeom>
                    <a:noFill/>
                    <a:ln>
                      <a:noFill/>
                    </a:ln>
                  </pic:spPr>
                </pic:pic>
              </a:graphicData>
            </a:graphic>
          </wp:inline>
        </w:drawing>
      </w:r>
    </w:p>
    <w:p>
      <w:pPr>
        <w:adjustRightInd w:val="0"/>
        <w:snapToGrid w:val="0"/>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图2</w:t>
      </w:r>
      <w:r>
        <w:rPr>
          <w:rFonts w:hint="default" w:ascii="Times New Roman" w:hAnsi="Times New Roman" w:cs="Times New Roman"/>
          <w:b/>
          <w:bCs/>
          <w:sz w:val="21"/>
          <w:szCs w:val="21"/>
          <w:highlight w:val="none"/>
          <w:lang w:val="en-US" w:eastAsia="zh-CN"/>
        </w:rPr>
        <w:t>.5-2</w:t>
      </w:r>
      <w:r>
        <w:rPr>
          <w:rFonts w:hint="default" w:ascii="Times New Roman" w:hAnsi="Times New Roman" w:eastAsia="宋体" w:cs="Times New Roman"/>
          <w:b/>
          <w:bCs/>
          <w:sz w:val="21"/>
          <w:szCs w:val="21"/>
          <w:highlight w:val="none"/>
          <w:lang w:val="en-US" w:eastAsia="zh-CN"/>
        </w:rPr>
        <w:t xml:space="preserve"> 四合大桥平面图</w:t>
      </w:r>
    </w:p>
    <w:p>
      <w:pPr>
        <w:pStyle w:val="2"/>
        <w:rPr>
          <w:rFonts w:hint="default"/>
          <w:lang w:val="en-US" w:eastAsia="zh-CN"/>
        </w:rPr>
      </w:pPr>
    </w:p>
    <w:p>
      <w:pPr>
        <w:adjustRightInd w:val="0"/>
        <w:snapToGrid w:val="0"/>
        <w:spacing w:line="360" w:lineRule="auto"/>
        <w:ind w:firstLine="480" w:firstLineChars="200"/>
        <w:jc w:val="center"/>
        <w:rPr>
          <w:rFonts w:hint="default" w:ascii="Times New Roman" w:hAnsi="Times New Roman" w:eastAsia="宋体" w:cs="Times New Roman"/>
          <w:b w:val="0"/>
          <w:bCs w:val="0"/>
          <w:szCs w:val="21"/>
          <w:highlight w:val="none"/>
          <w:lang w:eastAsia="zh-CN"/>
        </w:rPr>
      </w:pPr>
      <w:r>
        <w:rPr>
          <w:rFonts w:hint="default" w:ascii="Times New Roman" w:hAnsi="Times New Roman" w:eastAsia="宋体" w:cs="Times New Roman"/>
          <w:b w:val="0"/>
          <w:bCs w:val="0"/>
          <w:szCs w:val="21"/>
          <w:highlight w:val="none"/>
          <w:lang w:eastAsia="zh-CN"/>
        </w:rPr>
        <w:drawing>
          <wp:inline distT="0" distB="0" distL="114300" distR="114300">
            <wp:extent cx="4769485" cy="2674620"/>
            <wp:effectExtent l="0" t="0" r="12065" b="11430"/>
            <wp:docPr id="10" name="图片 64" descr="四合立面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4" descr="四合立面布置"/>
                    <pic:cNvPicPr>
                      <a:picLocks noChangeAspect="1"/>
                    </pic:cNvPicPr>
                  </pic:nvPicPr>
                  <pic:blipFill>
                    <a:blip r:embed="rId20"/>
                    <a:stretch>
                      <a:fillRect/>
                    </a:stretch>
                  </pic:blipFill>
                  <pic:spPr>
                    <a:xfrm>
                      <a:off x="0" y="0"/>
                      <a:ext cx="4769485" cy="2674620"/>
                    </a:xfrm>
                    <a:prstGeom prst="rect">
                      <a:avLst/>
                    </a:prstGeom>
                    <a:noFill/>
                    <a:ln>
                      <a:noFill/>
                    </a:ln>
                  </pic:spPr>
                </pic:pic>
              </a:graphicData>
            </a:graphic>
          </wp:inline>
        </w:drawing>
      </w:r>
    </w:p>
    <w:p>
      <w:pPr>
        <w:adjustRightInd w:val="0"/>
        <w:snapToGrid w:val="0"/>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图2</w:t>
      </w:r>
      <w:r>
        <w:rPr>
          <w:rFonts w:hint="default" w:ascii="Times New Roman" w:hAnsi="Times New Roman" w:cs="Times New Roman"/>
          <w:b/>
          <w:bCs/>
          <w:sz w:val="21"/>
          <w:szCs w:val="21"/>
          <w:highlight w:val="none"/>
          <w:lang w:val="en-US" w:eastAsia="zh-CN"/>
        </w:rPr>
        <w:t>.5-3</w:t>
      </w:r>
      <w:r>
        <w:rPr>
          <w:rFonts w:hint="default" w:ascii="Times New Roman" w:hAnsi="Times New Roman" w:eastAsia="宋体" w:cs="Times New Roman"/>
          <w:b/>
          <w:bCs/>
          <w:sz w:val="21"/>
          <w:szCs w:val="21"/>
          <w:highlight w:val="none"/>
          <w:lang w:val="en-US" w:eastAsia="zh-CN"/>
        </w:rPr>
        <w:t xml:space="preserve"> 四合大桥横断面图</w:t>
      </w:r>
    </w:p>
    <w:p>
      <w:pPr>
        <w:adjustRightInd w:val="0"/>
        <w:snapToGrid w:val="0"/>
        <w:spacing w:line="360" w:lineRule="auto"/>
        <w:ind w:firstLine="480" w:firstLineChars="200"/>
        <w:jc w:val="center"/>
        <w:rPr>
          <w:rFonts w:hint="default" w:ascii="Times New Roman" w:hAnsi="Times New Roman" w:eastAsia="宋体" w:cs="Times New Roman"/>
          <w:b w:val="0"/>
          <w:bCs w:val="0"/>
          <w:szCs w:val="21"/>
          <w:highlight w:val="none"/>
          <w:lang w:eastAsia="zh-CN"/>
        </w:rPr>
      </w:pPr>
      <w:r>
        <w:rPr>
          <w:rFonts w:hint="default" w:ascii="Times New Roman" w:hAnsi="Times New Roman" w:eastAsia="宋体" w:cs="Times New Roman"/>
          <w:b w:val="0"/>
          <w:bCs w:val="0"/>
          <w:szCs w:val="21"/>
          <w:highlight w:val="none"/>
          <w:lang w:eastAsia="zh-CN"/>
        </w:rPr>
        <w:drawing>
          <wp:inline distT="0" distB="0" distL="114300" distR="114300">
            <wp:extent cx="4535170" cy="3425190"/>
            <wp:effectExtent l="0" t="0" r="17780" b="3810"/>
            <wp:docPr id="18" name="图片 65" descr="临巴桥平面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5" descr="临巴桥平面布置"/>
                    <pic:cNvPicPr>
                      <a:picLocks noChangeAspect="1"/>
                    </pic:cNvPicPr>
                  </pic:nvPicPr>
                  <pic:blipFill>
                    <a:blip r:embed="rId21"/>
                    <a:stretch>
                      <a:fillRect/>
                    </a:stretch>
                  </pic:blipFill>
                  <pic:spPr>
                    <a:xfrm>
                      <a:off x="0" y="0"/>
                      <a:ext cx="4535170" cy="3425190"/>
                    </a:xfrm>
                    <a:prstGeom prst="rect">
                      <a:avLst/>
                    </a:prstGeom>
                    <a:noFill/>
                    <a:ln>
                      <a:noFill/>
                    </a:ln>
                  </pic:spPr>
                </pic:pic>
              </a:graphicData>
            </a:graphic>
          </wp:inline>
        </w:drawing>
      </w:r>
    </w:p>
    <w:p>
      <w:pPr>
        <w:adjustRightInd w:val="0"/>
        <w:snapToGrid w:val="0"/>
        <w:spacing w:line="360" w:lineRule="auto"/>
        <w:ind w:firstLine="480" w:firstLineChars="200"/>
        <w:rPr>
          <w:rFonts w:hint="default" w:ascii="Times New Roman" w:hAnsi="Times New Roman" w:eastAsia="宋体" w:cs="Times New Roman"/>
          <w:b w:val="0"/>
          <w:bCs w:val="0"/>
          <w:szCs w:val="21"/>
          <w:highlight w:val="none"/>
          <w:lang w:eastAsia="zh-CN"/>
        </w:rPr>
      </w:pPr>
    </w:p>
    <w:p>
      <w:pPr>
        <w:adjustRightInd w:val="0"/>
        <w:snapToGrid w:val="0"/>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图2</w:t>
      </w:r>
      <w:r>
        <w:rPr>
          <w:rFonts w:hint="default" w:ascii="Times New Roman" w:hAnsi="Times New Roman" w:cs="Times New Roman"/>
          <w:b/>
          <w:bCs/>
          <w:sz w:val="21"/>
          <w:szCs w:val="21"/>
          <w:highlight w:val="none"/>
          <w:lang w:val="en-US" w:eastAsia="zh-CN"/>
        </w:rPr>
        <w:t>.5-4</w:t>
      </w:r>
      <w:r>
        <w:rPr>
          <w:rFonts w:hint="default" w:ascii="Times New Roman" w:hAnsi="Times New Roman" w:eastAsia="宋体" w:cs="Times New Roman"/>
          <w:b/>
          <w:bCs/>
          <w:sz w:val="21"/>
          <w:szCs w:val="21"/>
          <w:highlight w:val="none"/>
          <w:lang w:val="en-US" w:eastAsia="zh-CN"/>
        </w:rPr>
        <w:t xml:space="preserve"> 临巴中桥平面图</w:t>
      </w:r>
    </w:p>
    <w:p>
      <w:pPr>
        <w:adjustRightInd w:val="0"/>
        <w:snapToGrid w:val="0"/>
        <w:spacing w:line="240" w:lineRule="auto"/>
        <w:ind w:firstLine="480" w:firstLineChars="200"/>
        <w:jc w:val="center"/>
        <w:rPr>
          <w:rFonts w:hint="default" w:ascii="Times New Roman" w:hAnsi="Times New Roman" w:cs="Times New Roman"/>
          <w:lang w:val="en-US" w:eastAsia="zh-CN"/>
        </w:rPr>
      </w:pPr>
    </w:p>
    <w:p>
      <w:pPr>
        <w:adjustRightInd w:val="0"/>
        <w:snapToGrid w:val="0"/>
        <w:spacing w:line="360" w:lineRule="auto"/>
        <w:ind w:firstLine="480" w:firstLineChars="200"/>
        <w:jc w:val="center"/>
        <w:rPr>
          <w:rFonts w:hint="default" w:ascii="Times New Roman" w:hAnsi="Times New Roman" w:eastAsia="宋体" w:cs="Times New Roman"/>
          <w:b w:val="0"/>
          <w:bCs w:val="0"/>
          <w:szCs w:val="21"/>
          <w:highlight w:val="none"/>
          <w:lang w:eastAsia="zh-CN"/>
        </w:rPr>
      </w:pPr>
      <w:r>
        <w:rPr>
          <w:rFonts w:hint="default" w:ascii="Times New Roman" w:hAnsi="Times New Roman" w:eastAsia="宋体" w:cs="Times New Roman"/>
          <w:b w:val="0"/>
          <w:bCs w:val="0"/>
          <w:szCs w:val="21"/>
          <w:highlight w:val="none"/>
          <w:lang w:eastAsia="zh-CN"/>
        </w:rPr>
        <w:drawing>
          <wp:inline distT="0" distB="0" distL="114300" distR="114300">
            <wp:extent cx="4505325" cy="1844040"/>
            <wp:effectExtent l="0" t="0" r="9525" b="3810"/>
            <wp:docPr id="13" name="图片 66" descr="临巴立面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6" descr="临巴立面布置"/>
                    <pic:cNvPicPr>
                      <a:picLocks noChangeAspect="1"/>
                    </pic:cNvPicPr>
                  </pic:nvPicPr>
                  <pic:blipFill>
                    <a:blip r:embed="rId22"/>
                    <a:stretch>
                      <a:fillRect/>
                    </a:stretch>
                  </pic:blipFill>
                  <pic:spPr>
                    <a:xfrm>
                      <a:off x="0" y="0"/>
                      <a:ext cx="4505325" cy="1844040"/>
                    </a:xfrm>
                    <a:prstGeom prst="rect">
                      <a:avLst/>
                    </a:prstGeom>
                    <a:noFill/>
                    <a:ln>
                      <a:noFill/>
                    </a:ln>
                  </pic:spPr>
                </pic:pic>
              </a:graphicData>
            </a:graphic>
          </wp:inline>
        </w:drawing>
      </w:r>
    </w:p>
    <w:p>
      <w:pPr>
        <w:adjustRightInd w:val="0"/>
        <w:snapToGrid w:val="0"/>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图2</w:t>
      </w:r>
      <w:r>
        <w:rPr>
          <w:rFonts w:hint="default" w:ascii="Times New Roman" w:hAnsi="Times New Roman" w:cs="Times New Roman"/>
          <w:b/>
          <w:bCs/>
          <w:sz w:val="21"/>
          <w:szCs w:val="21"/>
          <w:highlight w:val="none"/>
          <w:lang w:val="en-US" w:eastAsia="zh-CN"/>
        </w:rPr>
        <w:t>.5-5</w:t>
      </w:r>
      <w:r>
        <w:rPr>
          <w:rFonts w:hint="default" w:ascii="Times New Roman" w:hAnsi="Times New Roman" w:eastAsia="宋体" w:cs="Times New Roman"/>
          <w:b/>
          <w:bCs/>
          <w:sz w:val="21"/>
          <w:szCs w:val="21"/>
          <w:highlight w:val="none"/>
          <w:lang w:val="en-US" w:eastAsia="zh-CN"/>
        </w:rPr>
        <w:t xml:space="preserve"> 临巴中桥横断面图</w:t>
      </w: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2.5.4.排水工程</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在道路两侧土路肩外布设0.5m*0.6m边沟，边沟纵坡一般不小于 0.3%并全部浆砌，以将坡面水横向引入桥涵进出水口，排入较深大沟渠。</w:t>
      </w: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2.5.5.交叉工程</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沿途与多处地方公路及机耕道相交，被交道路等级均不高。为最大限度发挥拟建公路的作用和效益，促进地方经济社会发展，方便群众生活，与相交道路的交叉设置为平面交叉。本项目除终点临巴幸福大道为一级公路外，其余均为四级公路及以外道路，全线共设置平交口7处。</w:t>
      </w: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2.5.6.附属工程</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交通运输系统是由人</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车</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路</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环境等要素构成的复杂动态系统，融入社会环境之中。它一方面受城乡经济</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人口分布</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产业布局</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能源供应</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环境保护和科技水平的制约，另一方面其有效性</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经济性</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安全性等又直接或间接的影响整个社会的工作效率</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经济效益</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人民生活及社会秩序等。为了确保行车的安全和充分发挥公路的作用，必须合理设置防撞护栏</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轮廓标等交通安全设施。本工程安全设施有标志</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标线</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护栏等。</w:t>
      </w:r>
    </w:p>
    <w:p>
      <w:pPr>
        <w:pStyle w:val="4"/>
        <w:bidi w:val="0"/>
        <w:rPr>
          <w:rFonts w:hint="default"/>
          <w:lang w:val="en-US" w:eastAsia="zh-CN"/>
        </w:rPr>
      </w:pPr>
      <w:bookmarkStart w:id="72" w:name="_Toc30064"/>
      <w:r>
        <w:rPr>
          <w:rFonts w:hint="default"/>
          <w:lang w:val="en-US" w:eastAsia="zh-CN"/>
        </w:rPr>
        <w:t>2.6.土石方平衡与筑路材料来源</w:t>
      </w:r>
      <w:bookmarkEnd w:id="72"/>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2.6.1.土石方平衡</w:t>
      </w:r>
    </w:p>
    <w:p>
      <w:pPr>
        <w:adjustRightInd w:val="0"/>
        <w:snapToGrid w:val="0"/>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本项目主要建设内容包括道路工程建设</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桥梁工程建设，根据建设单位提供工可资料全线合计挖方20.993万m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lang w:val="en-US" w:eastAsia="zh-CN"/>
        </w:rPr>
        <w:t>含表土4.7万m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lang w:val="en-US" w:eastAsia="zh-CN"/>
        </w:rPr>
        <w:t>，填方46.6184万m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lang w:val="en-US" w:eastAsia="zh-CN"/>
        </w:rPr>
        <w:t>含表土4.7万m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lang w:val="en-US" w:eastAsia="zh-CN"/>
        </w:rPr>
        <w:t>，借方28.6254万m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，弃方3万m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。本工程沿线共设置5处取土场，1处弃渣场，主要占地类型为荒地和耕地</w:t>
      </w:r>
      <w:r>
        <w:rPr>
          <w:rFonts w:hint="eastAsia" w:ascii="Times New Roman" w:hAnsi="Times New Roman" w:cs="Times New Roman"/>
          <w:b w:val="0"/>
          <w:bCs w:val="0"/>
          <w:sz w:val="24"/>
          <w:szCs w:val="24"/>
          <w:highlight w:val="none"/>
          <w:lang w:val="en-US" w:eastAsia="zh-CN"/>
        </w:rPr>
        <w:t>，不占用基本农田</w:t>
      </w:r>
      <w:r>
        <w:rPr>
          <w:rFonts w:hint="default" w:ascii="Times New Roman" w:hAnsi="Times New Roman" w:eastAsia="宋体" w:cs="Times New Roman"/>
          <w:b w:val="0"/>
          <w:bCs w:val="0"/>
          <w:sz w:val="24"/>
          <w:szCs w:val="24"/>
          <w:highlight w:val="none"/>
          <w:lang w:val="en-US" w:eastAsia="zh-CN"/>
        </w:rPr>
        <w:t>。表土临时堆存于弃渣场内。</w:t>
      </w:r>
    </w:p>
    <w:p>
      <w:pPr>
        <w:adjustRightInd/>
        <w:snapToGrid/>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表2</w:t>
      </w:r>
      <w:r>
        <w:rPr>
          <w:rFonts w:hint="default" w:ascii="Times New Roman" w:hAnsi="Times New Roman" w:cs="Times New Roman"/>
          <w:b/>
          <w:bCs/>
          <w:sz w:val="21"/>
          <w:szCs w:val="21"/>
          <w:highlight w:val="none"/>
          <w:lang w:val="en-US" w:eastAsia="zh-CN"/>
        </w:rPr>
        <w:t>.6-1</w:t>
      </w:r>
      <w:r>
        <w:rPr>
          <w:rFonts w:hint="default" w:ascii="Times New Roman" w:hAnsi="Times New Roman" w:eastAsia="宋体" w:cs="Times New Roman"/>
          <w:b/>
          <w:bCs/>
          <w:sz w:val="21"/>
          <w:szCs w:val="21"/>
          <w:highlight w:val="none"/>
          <w:lang w:val="en-US" w:eastAsia="zh-CN"/>
        </w:rPr>
        <w:t xml:space="preserve"> 本工程取土场地设置表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587"/>
        <w:gridCol w:w="1152"/>
        <w:gridCol w:w="1152"/>
        <w:gridCol w:w="1152"/>
        <w:gridCol w:w="1153"/>
        <w:gridCol w:w="1153"/>
        <w:gridCol w:w="1154"/>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20" w:type="dxa"/>
            <w:gridSpan w:val="2"/>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编号</w:t>
            </w:r>
          </w:p>
        </w:tc>
        <w:tc>
          <w:tcPr>
            <w:tcW w:w="1020"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桩号</w:t>
            </w:r>
          </w:p>
        </w:tc>
        <w:tc>
          <w:tcPr>
            <w:tcW w:w="2040" w:type="dxa"/>
            <w:gridSpan w:val="2"/>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位置</w:t>
            </w:r>
            <w:r>
              <w:rPr>
                <w:rFonts w:hint="default" w:ascii="Times New Roman" w:hAnsi="Times New Roman" w:eastAsia="宋体" w:cs="Times New Roman"/>
                <w:b w:val="0"/>
                <w:bCs w:val="0"/>
                <w:color w:val="000000"/>
                <w:kern w:val="0"/>
                <w:sz w:val="21"/>
                <w:szCs w:val="21"/>
                <w:u w:val="none"/>
                <w:vertAlign w:val="baseline"/>
                <w:lang w:val="en-US" w:eastAsia="zh-CN" w:bidi="ar"/>
              </w:rPr>
              <w:t>（m）</w:t>
            </w:r>
          </w:p>
        </w:tc>
        <w:tc>
          <w:tcPr>
            <w:tcW w:w="2042" w:type="dxa"/>
            <w:gridSpan w:val="2"/>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占地类型</w:t>
            </w:r>
            <w:r>
              <w:rPr>
                <w:rFonts w:hint="default" w:ascii="Times New Roman" w:hAnsi="Times New Roman" w:eastAsia="宋体" w:cs="Times New Roman"/>
                <w:b w:val="0"/>
                <w:bCs w:val="0"/>
                <w:color w:val="000000"/>
                <w:kern w:val="0"/>
                <w:sz w:val="21"/>
                <w:szCs w:val="21"/>
                <w:u w:val="none"/>
                <w:vertAlign w:val="baseline"/>
                <w:lang w:val="en-US" w:eastAsia="zh-CN" w:bidi="ar"/>
              </w:rPr>
              <w:t>（hm</w:t>
            </w:r>
            <w:r>
              <w:rPr>
                <w:rFonts w:hint="default" w:ascii="Times New Roman" w:hAnsi="Times New Roman" w:eastAsia="宋体" w:cs="Times New Roman"/>
                <w:b w:val="0"/>
                <w:bCs w:val="0"/>
                <w:color w:val="000000"/>
                <w:kern w:val="0"/>
                <w:sz w:val="21"/>
                <w:szCs w:val="21"/>
                <w:u w:val="none"/>
                <w:vertAlign w:val="superscript"/>
                <w:lang w:val="en-US" w:eastAsia="zh-CN" w:bidi="ar"/>
              </w:rPr>
              <w:t>2</w:t>
            </w:r>
            <w:r>
              <w:rPr>
                <w:rFonts w:hint="default" w:ascii="Times New Roman" w:hAnsi="Times New Roman" w:eastAsia="宋体" w:cs="Times New Roman"/>
                <w:b w:val="0"/>
                <w:bCs w:val="0"/>
                <w:color w:val="000000"/>
                <w:kern w:val="0"/>
                <w:sz w:val="21"/>
                <w:szCs w:val="21"/>
                <w:u w:val="none"/>
                <w:vertAlign w:val="baseline"/>
                <w:lang w:val="en-US" w:eastAsia="zh-CN" w:bidi="ar"/>
              </w:rPr>
              <w:t>）</w:t>
            </w:r>
          </w:p>
        </w:tc>
        <w:tc>
          <w:tcPr>
            <w:tcW w:w="1021"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总面积（hm</w:t>
            </w:r>
            <w:r>
              <w:rPr>
                <w:rFonts w:hint="default" w:ascii="Times New Roman" w:hAnsi="Times New Roman" w:eastAsia="宋体" w:cs="Times New Roman"/>
                <w:b w:val="0"/>
                <w:bCs w:val="0"/>
                <w:color w:val="000000"/>
                <w:kern w:val="0"/>
                <w:sz w:val="21"/>
                <w:szCs w:val="21"/>
                <w:vertAlign w:val="superscript"/>
                <w:lang w:val="en-US" w:eastAsia="zh-CN" w:bidi="ar"/>
              </w:rPr>
              <w:t>2</w:t>
            </w:r>
            <w:r>
              <w:rPr>
                <w:rFonts w:hint="default" w:ascii="Times New Roman" w:hAnsi="Times New Roman" w:eastAsia="宋体" w:cs="Times New Roman"/>
                <w:b w:val="0"/>
                <w:bCs w:val="0"/>
                <w:color w:val="000000"/>
                <w:kern w:val="0"/>
                <w:sz w:val="21"/>
                <w:szCs w:val="21"/>
                <w:vertAlign w:val="baseline"/>
                <w:lang w:val="en-US" w:eastAsia="zh-CN" w:bidi="ar"/>
              </w:rPr>
              <w:t>）</w:t>
            </w:r>
          </w:p>
        </w:tc>
        <w:tc>
          <w:tcPr>
            <w:tcW w:w="1021"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方量（万m</w:t>
            </w:r>
            <w:r>
              <w:rPr>
                <w:rFonts w:hint="default" w:ascii="Times New Roman" w:hAnsi="Times New Roman" w:eastAsia="宋体" w:cs="Times New Roman"/>
                <w:b w:val="0"/>
                <w:bCs w:val="0"/>
                <w:color w:val="000000"/>
                <w:kern w:val="0"/>
                <w:sz w:val="21"/>
                <w:szCs w:val="21"/>
                <w:vertAlign w:val="superscript"/>
                <w:lang w:val="en-US" w:eastAsia="zh-CN" w:bidi="ar"/>
              </w:rPr>
              <w:t>3</w:t>
            </w:r>
            <w:r>
              <w:rPr>
                <w:rFonts w:hint="default" w:ascii="Times New Roman" w:hAnsi="Times New Roman" w:eastAsia="宋体" w:cs="Times New Roman"/>
                <w:b w:val="0"/>
                <w:bCs w:val="0"/>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20" w:type="dxa"/>
            <w:gridSpan w:val="2"/>
            <w:vMerge w:val="continue"/>
            <w:noWrap w:val="0"/>
            <w:vAlign w:val="center"/>
          </w:tcPr>
          <w:p>
            <w:pPr>
              <w:keepNext w:val="0"/>
              <w:keepLines w:val="0"/>
              <w:widowControl/>
              <w:jc w:val="center"/>
              <w:textAlignment w:val="center"/>
              <w:rPr>
                <w:rFonts w:hint="default" w:ascii="Times New Roman" w:hAnsi="Times New Roman" w:cs="Times New Roman"/>
                <w:b w:val="0"/>
                <w:bCs w:val="0"/>
                <w:sz w:val="21"/>
                <w:szCs w:val="21"/>
              </w:rPr>
            </w:pPr>
          </w:p>
        </w:tc>
        <w:tc>
          <w:tcPr>
            <w:tcW w:w="102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左</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右</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荒地</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耕地</w:t>
            </w:r>
          </w:p>
        </w:tc>
        <w:tc>
          <w:tcPr>
            <w:tcW w:w="1021"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取土场</w:t>
            </w: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K0+240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0.5</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0.2</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0.7</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K0+240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0.5</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0.1</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0.6</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K1+077</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0.7</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0.3</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K1+177</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0.4</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1.3</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K3+838</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弃渣场</w:t>
            </w: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K1+500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0.7</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0.1</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0.8</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w:t>
            </w:r>
          </w:p>
        </w:tc>
      </w:tr>
    </w:tbl>
    <w:p>
      <w:pPr>
        <w:bidi w:val="0"/>
        <w:rPr>
          <w:rFonts w:hint="default"/>
          <w:lang w:val="en-US" w:eastAsia="zh-CN"/>
        </w:rPr>
      </w:pP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2.6.2.筑路材料及运输条件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项目区路网通达情况较好，省道</w:t>
      </w:r>
      <w:r>
        <w:rPr>
          <w:rFonts w:hint="eastAsia" w:ascii="Times New Roman" w:hAnsi="Times New Roman" w:cs="Times New Roman"/>
          <w:lang w:val="en-US" w:eastAsia="zh-CN"/>
        </w:rPr>
        <w:t>、</w:t>
      </w:r>
      <w:r>
        <w:rPr>
          <w:rFonts w:hint="default" w:ascii="Times New Roman" w:hAnsi="Times New Roman" w:cs="Times New Roman"/>
          <w:lang w:val="en-US" w:eastAsia="zh-CN"/>
        </w:rPr>
        <w:t>地方道路均可作为拟建公路筑路材料及设备运输道路，运输条件较好。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本项目所需的筑路材料如沥青混凝土</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水泥</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碎石等全部为外购成品，现场不进行拌和作业，道路规划控制范围内不进行采砂作业。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本项目筑路材料情况见下表：</w:t>
      </w:r>
    </w:p>
    <w:p>
      <w:pPr>
        <w:adjustRightInd/>
        <w:snapToGrid/>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表2</w:t>
      </w:r>
      <w:r>
        <w:rPr>
          <w:rFonts w:hint="eastAsia" w:ascii="Times New Roman" w:hAnsi="Times New Roman" w:cs="Times New Roman"/>
          <w:b/>
          <w:bCs/>
          <w:sz w:val="21"/>
          <w:szCs w:val="21"/>
          <w:highlight w:val="none"/>
          <w:lang w:val="en-US" w:eastAsia="zh-CN"/>
        </w:rPr>
        <w:t>.6-2</w:t>
      </w:r>
      <w:r>
        <w:rPr>
          <w:rFonts w:hint="default" w:ascii="Times New Roman" w:hAnsi="Times New Roman" w:eastAsia="宋体" w:cs="Times New Roman"/>
          <w:b/>
          <w:bCs/>
          <w:sz w:val="21"/>
          <w:szCs w:val="21"/>
          <w:highlight w:val="none"/>
          <w:lang w:val="en-US" w:eastAsia="zh-CN"/>
        </w:rPr>
        <w:t xml:space="preserve"> 本工程筑路材料料场表</w:t>
      </w:r>
    </w:p>
    <w:tbl>
      <w:tblPr>
        <w:tblStyle w:val="17"/>
        <w:tblW w:w="475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6"/>
        <w:gridCol w:w="859"/>
        <w:gridCol w:w="672"/>
        <w:gridCol w:w="605"/>
        <w:gridCol w:w="1400"/>
        <w:gridCol w:w="2478"/>
        <w:gridCol w:w="638"/>
        <w:gridCol w:w="605"/>
        <w:gridCol w:w="652"/>
        <w:gridCol w:w="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jc w:val="center"/>
        </w:trPr>
        <w:tc>
          <w:tcPr>
            <w:tcW w:w="408" w:type="dxa"/>
            <w:tcBorders>
              <w:top w:val="single" w:color="000000" w:sz="8" w:space="0"/>
              <w:left w:val="single" w:color="000000" w:sz="8"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序号</w:t>
            </w:r>
          </w:p>
        </w:tc>
        <w:tc>
          <w:tcPr>
            <w:tcW w:w="751"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材料名称</w:t>
            </w:r>
          </w:p>
        </w:tc>
        <w:tc>
          <w:tcPr>
            <w:tcW w:w="584"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料场编号</w:t>
            </w:r>
          </w:p>
        </w:tc>
        <w:tc>
          <w:tcPr>
            <w:tcW w:w="524"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料场位置</w:t>
            </w:r>
          </w:p>
        </w:tc>
        <w:tc>
          <w:tcPr>
            <w:tcW w:w="1232"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平均运距（公里）</w:t>
            </w:r>
          </w:p>
        </w:tc>
        <w:tc>
          <w:tcPr>
            <w:tcW w:w="2193"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材 </w:t>
            </w:r>
            <w:r>
              <w:rPr>
                <w:rStyle w:val="25"/>
                <w:rFonts w:hint="default" w:ascii="Times New Roman" w:hAnsi="Times New Roman" w:cs="Times New Roman"/>
                <w:b w:val="0"/>
                <w:bCs w:val="0"/>
                <w:sz w:val="21"/>
                <w:szCs w:val="21"/>
                <w:lang w:val="en-US" w:eastAsia="zh-CN" w:bidi="ar"/>
              </w:rPr>
              <w:t xml:space="preserve"> 料 说 明</w:t>
            </w:r>
          </w:p>
        </w:tc>
        <w:tc>
          <w:tcPr>
            <w:tcW w:w="554"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储量</w:t>
            </w:r>
          </w:p>
        </w:tc>
        <w:tc>
          <w:tcPr>
            <w:tcW w:w="524"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开采方式</w:t>
            </w:r>
          </w:p>
        </w:tc>
        <w:tc>
          <w:tcPr>
            <w:tcW w:w="566"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运输方式</w:t>
            </w:r>
          </w:p>
        </w:tc>
        <w:tc>
          <w:tcPr>
            <w:tcW w:w="746"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通往料场地方道路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08"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砂</w:t>
            </w:r>
            <w:r>
              <w:rPr>
                <w:rFonts w:hint="eastAsia" w:ascii="Times New Roman" w:hAnsi="Times New Roman"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卵石</w:t>
            </w:r>
          </w:p>
        </w:tc>
        <w:tc>
          <w:tcPr>
            <w:tcW w:w="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0" w:firstLineChars="0"/>
              <w:jc w:val="both"/>
              <w:textAlignment w:val="center"/>
              <w:rPr>
                <w:rFonts w:hint="default" w:ascii="Times New Roman" w:hAnsi="Times New Roman" w:eastAsia="宋体" w:cs="Times New Roman"/>
                <w:b w:val="0"/>
                <w:bCs w:val="0"/>
                <w:i w:val="0"/>
                <w:iCs w:val="0"/>
                <w:color w:val="000000"/>
                <w:sz w:val="21"/>
                <w:szCs w:val="21"/>
                <w:u w:val="none"/>
              </w:rPr>
            </w:pPr>
            <w:r>
              <w:rPr>
                <w:rStyle w:val="25"/>
                <w:rFonts w:hint="default" w:ascii="Times New Roman" w:hAnsi="Times New Roman" w:cs="Times New Roman"/>
                <w:b w:val="0"/>
                <w:bCs w:val="0"/>
                <w:sz w:val="21"/>
                <w:szCs w:val="21"/>
                <w:lang w:val="en-US" w:eastAsia="zh-CN" w:bidi="ar"/>
              </w:rPr>
              <w:t>1#</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渠县</w:t>
            </w:r>
          </w:p>
        </w:tc>
        <w:tc>
          <w:tcPr>
            <w:tcW w:w="1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20</w:t>
            </w:r>
          </w:p>
        </w:tc>
        <w:tc>
          <w:tcPr>
            <w:tcW w:w="21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渠江及支流存在采沙场。适用于路面基层和上</w:t>
            </w:r>
            <w:r>
              <w:rPr>
                <w:rFonts w:hint="eastAsia" w:ascii="Times New Roman" w:hAnsi="Times New Roman"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中</w:t>
            </w:r>
            <w:r>
              <w:rPr>
                <w:rFonts w:hint="eastAsia" w:ascii="Times New Roman" w:hAnsi="Times New Roman"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下面层，主要生产各种粒径的碎石。卵石可作为支挡工程用料。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丰富</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购买</w:t>
            </w: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汽车</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公路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08" w:type="dxa"/>
            <w:tcBorders>
              <w:top w:val="nil"/>
              <w:left w:val="single" w:color="000000" w:sz="8"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碎石</w:t>
            </w:r>
          </w:p>
        </w:tc>
        <w:tc>
          <w:tcPr>
            <w:tcW w:w="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25"/>
                <w:rFonts w:hint="default" w:ascii="Times New Roman" w:hAnsi="Times New Roman" w:cs="Times New Roman"/>
                <w:b w:val="0"/>
                <w:bCs w:val="0"/>
                <w:sz w:val="21"/>
                <w:szCs w:val="21"/>
                <w:lang w:val="en-US" w:eastAsia="zh-CN" w:bidi="ar"/>
              </w:rPr>
              <w:t>2#</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渠县卷硐</w:t>
            </w:r>
          </w:p>
        </w:tc>
        <w:tc>
          <w:tcPr>
            <w:tcW w:w="1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25</w:t>
            </w:r>
          </w:p>
        </w:tc>
        <w:tc>
          <w:tcPr>
            <w:tcW w:w="21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料场位于渠江沿岸，采用华蓥山灰岩轧制，质量一般满足使用要求，可作为路面碎石使用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丰富</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自采</w:t>
            </w: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汽车</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公路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08"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3</w:t>
            </w:r>
          </w:p>
        </w:tc>
        <w:tc>
          <w:tcPr>
            <w:tcW w:w="751"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水泥</w:t>
            </w:r>
          </w:p>
        </w:tc>
        <w:tc>
          <w:tcPr>
            <w:tcW w:w="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25"/>
                <w:rFonts w:hint="default" w:ascii="Times New Roman" w:hAnsi="Times New Roman" w:cs="Times New Roman"/>
                <w:b w:val="0"/>
                <w:bCs w:val="0"/>
                <w:sz w:val="21"/>
                <w:szCs w:val="21"/>
                <w:lang w:val="en-US" w:eastAsia="zh-CN" w:bidi="ar"/>
              </w:rPr>
              <w:t>3#</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三汇</w:t>
            </w:r>
            <w:r>
              <w:rPr>
                <w:rFonts w:hint="eastAsia" w:ascii="Times New Roman" w:hAnsi="Times New Roman"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卷硐</w:t>
            </w:r>
          </w:p>
        </w:tc>
        <w:tc>
          <w:tcPr>
            <w:tcW w:w="1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25</w:t>
            </w:r>
          </w:p>
        </w:tc>
        <w:tc>
          <w:tcPr>
            <w:tcW w:w="2193"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三汇及卷硐均有水泥厂，可就近购买</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丰富</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购买</w:t>
            </w: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汽车</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公路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08" w:type="dxa"/>
            <w:tcBorders>
              <w:top w:val="nil"/>
              <w:left w:val="single" w:color="000000" w:sz="8"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w:t>
            </w:r>
          </w:p>
        </w:tc>
        <w:tc>
          <w:tcPr>
            <w:tcW w:w="751"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沥青</w:t>
            </w:r>
            <w:r>
              <w:rPr>
                <w:rFonts w:hint="eastAsia" w:ascii="Times New Roman" w:hAnsi="Times New Roman" w:cs="Times New Roman"/>
                <w:b w:val="0"/>
                <w:bCs w:val="0"/>
                <w:i w:val="0"/>
                <w:iCs w:val="0"/>
                <w:color w:val="000000"/>
                <w:kern w:val="0"/>
                <w:sz w:val="21"/>
                <w:szCs w:val="21"/>
                <w:u w:val="none"/>
                <w:lang w:val="en-US" w:eastAsia="zh-CN" w:bidi="ar"/>
              </w:rPr>
              <w:t>混凝土</w:t>
            </w:r>
          </w:p>
        </w:tc>
        <w:tc>
          <w:tcPr>
            <w:tcW w:w="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25"/>
                <w:rFonts w:hint="default" w:ascii="Times New Roman" w:hAnsi="Times New Roman" w:cs="Times New Roman"/>
                <w:b w:val="0"/>
                <w:bCs w:val="0"/>
                <w:sz w:val="21"/>
                <w:szCs w:val="21"/>
                <w:lang w:val="en-US" w:eastAsia="zh-CN" w:bidi="ar"/>
              </w:rPr>
              <w:t>4#</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达州</w:t>
            </w:r>
          </w:p>
        </w:tc>
        <w:tc>
          <w:tcPr>
            <w:tcW w:w="1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90</w:t>
            </w:r>
          </w:p>
        </w:tc>
        <w:tc>
          <w:tcPr>
            <w:tcW w:w="2193"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可到渠县或达州市区购买，推荐达州</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丰富</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购买</w:t>
            </w: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汽车</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高速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08" w:type="dxa"/>
            <w:tcBorders>
              <w:top w:val="nil"/>
              <w:left w:val="single" w:color="000000" w:sz="8"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5</w:t>
            </w:r>
          </w:p>
        </w:tc>
        <w:tc>
          <w:tcPr>
            <w:tcW w:w="751"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钢材</w:t>
            </w:r>
          </w:p>
        </w:tc>
        <w:tc>
          <w:tcPr>
            <w:tcW w:w="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25"/>
                <w:rFonts w:hint="default" w:ascii="Times New Roman" w:hAnsi="Times New Roman" w:cs="Times New Roman"/>
                <w:b w:val="0"/>
                <w:bCs w:val="0"/>
                <w:sz w:val="21"/>
                <w:szCs w:val="21"/>
                <w:lang w:val="en-US" w:eastAsia="zh-CN" w:bidi="ar"/>
              </w:rPr>
              <w:t>5#</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达州</w:t>
            </w:r>
          </w:p>
        </w:tc>
        <w:tc>
          <w:tcPr>
            <w:tcW w:w="1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90</w:t>
            </w:r>
          </w:p>
        </w:tc>
        <w:tc>
          <w:tcPr>
            <w:tcW w:w="2193"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可到渠县或达州市区购买，推荐达州</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丰富</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购买</w:t>
            </w: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汽车</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高速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jc w:val="center"/>
        </w:trPr>
        <w:tc>
          <w:tcPr>
            <w:tcW w:w="408" w:type="dxa"/>
            <w:tcBorders>
              <w:top w:val="nil"/>
              <w:left w:val="single" w:color="000000" w:sz="8"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6</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水</w:t>
            </w:r>
          </w:p>
        </w:tc>
        <w:tc>
          <w:tcPr>
            <w:tcW w:w="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25"/>
                <w:rFonts w:hint="default" w:ascii="Times New Roman" w:hAnsi="Times New Roman" w:cs="Times New Roman"/>
                <w:b w:val="0"/>
                <w:bCs w:val="0"/>
                <w:sz w:val="21"/>
                <w:szCs w:val="21"/>
                <w:lang w:val="en-US" w:eastAsia="zh-CN" w:bidi="ar"/>
              </w:rPr>
              <w:t>6#</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沿线</w:t>
            </w:r>
          </w:p>
        </w:tc>
        <w:tc>
          <w:tcPr>
            <w:tcW w:w="1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0.1</w:t>
            </w:r>
          </w:p>
        </w:tc>
        <w:tc>
          <w:tcPr>
            <w:tcW w:w="21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沿线水资源丰富，水质较好，无污染，无腐蚀性</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default" w:ascii="Times New Roman" w:hAnsi="Times New Roman" w:eastAsia="宋体" w:cs="Times New Roman"/>
                <w:b w:val="0"/>
                <w:bCs w:val="0"/>
                <w:i w:val="0"/>
                <w:iCs w:val="0"/>
                <w:color w:val="000000"/>
                <w:sz w:val="21"/>
                <w:szCs w:val="21"/>
                <w:u w:val="none"/>
                <w:lang w:val="en-US" w:eastAsia="zh-CN"/>
              </w:rPr>
              <w:t>/</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default" w:ascii="Times New Roman" w:hAnsi="Times New Roman" w:eastAsia="宋体" w:cs="Times New Roman"/>
                <w:b w:val="0"/>
                <w:bCs w:val="0"/>
                <w:i w:val="0"/>
                <w:iCs w:val="0"/>
                <w:color w:val="000000"/>
                <w:sz w:val="21"/>
                <w:szCs w:val="21"/>
                <w:u w:val="none"/>
                <w:lang w:val="en-US" w:eastAsia="zh-CN"/>
              </w:rPr>
              <w:t>/</w:t>
            </w: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default" w:ascii="Times New Roman" w:hAnsi="Times New Roman" w:eastAsia="宋体" w:cs="Times New Roman"/>
                <w:b w:val="0"/>
                <w:bCs w:val="0"/>
                <w:i w:val="0"/>
                <w:iCs w:val="0"/>
                <w:color w:val="000000"/>
                <w:sz w:val="21"/>
                <w:szCs w:val="21"/>
                <w:u w:val="none"/>
                <w:lang w:val="en-US" w:eastAsia="zh-CN"/>
              </w:rPr>
              <w:t>/</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default" w:ascii="Times New Roman" w:hAnsi="Times New Roman" w:eastAsia="宋体" w:cs="Times New Roman"/>
                <w:b w:val="0"/>
                <w:bCs w:val="0"/>
                <w:i w:val="0"/>
                <w:iCs w:val="0"/>
                <w:color w:val="000000"/>
                <w:sz w:val="21"/>
                <w:szCs w:val="21"/>
                <w:u w:val="none"/>
                <w:lang w:val="en-US" w:eastAsia="zh-CN"/>
              </w:rPr>
              <w:t>/</w:t>
            </w:r>
          </w:p>
        </w:tc>
      </w:tr>
    </w:tbl>
    <w:p>
      <w:pPr>
        <w:bidi w:val="0"/>
        <w:rPr>
          <w:rFonts w:hint="default"/>
          <w:lang w:val="en-US" w:eastAsia="zh-CN"/>
        </w:rPr>
      </w:pPr>
      <w:bookmarkStart w:id="73" w:name="_Toc3284"/>
    </w:p>
    <w:p>
      <w:pPr>
        <w:pStyle w:val="4"/>
        <w:bidi w:val="0"/>
        <w:rPr>
          <w:rFonts w:hint="default"/>
          <w:lang w:val="en-US" w:eastAsia="zh-CN"/>
        </w:rPr>
      </w:pPr>
      <w:r>
        <w:rPr>
          <w:rFonts w:hint="default"/>
          <w:lang w:val="en-US" w:eastAsia="zh-CN"/>
        </w:rPr>
        <w:t>2.7.临时工程</w:t>
      </w:r>
      <w:bookmarkEnd w:id="73"/>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2.7.1.取</w:t>
      </w:r>
      <w:r>
        <w:rPr>
          <w:rFonts w:hint="eastAsia" w:ascii="Times New Roman" w:hAnsi="Times New Roman" w:cs="Times New Roman"/>
          <w:b/>
          <w:sz w:val="24"/>
          <w:szCs w:val="24"/>
          <w:lang w:val="en-US" w:eastAsia="zh-CN"/>
        </w:rPr>
        <w:t>、</w:t>
      </w:r>
      <w:r>
        <w:rPr>
          <w:rFonts w:hint="default" w:ascii="Times New Roman" w:hAnsi="Times New Roman" w:cs="Times New Roman"/>
          <w:b/>
          <w:sz w:val="24"/>
          <w:szCs w:val="24"/>
          <w:lang w:val="en-US" w:eastAsia="zh-CN"/>
        </w:rPr>
        <w:t>弃土场</w:t>
      </w:r>
    </w:p>
    <w:p>
      <w:pPr>
        <w:adjustRightInd/>
        <w:snapToGrid/>
        <w:spacing w:line="360" w:lineRule="auto"/>
        <w:ind w:firstLine="480" w:firstLineChars="200"/>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本工程沿线共设置5处取土场，1处弃渣场，主要占地类型为荒地和耕地。表土临时堆存于弃渣场内。</w:t>
      </w:r>
    </w:p>
    <w:p>
      <w:pPr>
        <w:adjustRightInd/>
        <w:snapToGrid/>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表2</w:t>
      </w:r>
      <w:r>
        <w:rPr>
          <w:rFonts w:hint="default" w:ascii="Times New Roman" w:hAnsi="Times New Roman" w:cs="Times New Roman"/>
          <w:b/>
          <w:bCs/>
          <w:sz w:val="21"/>
          <w:szCs w:val="21"/>
          <w:highlight w:val="none"/>
          <w:lang w:val="en-US" w:eastAsia="zh-CN"/>
        </w:rPr>
        <w:t>.7-1</w:t>
      </w:r>
      <w:r>
        <w:rPr>
          <w:rFonts w:hint="default" w:ascii="Times New Roman" w:hAnsi="Times New Roman" w:eastAsia="宋体" w:cs="Times New Roman"/>
          <w:b/>
          <w:bCs/>
          <w:sz w:val="21"/>
          <w:szCs w:val="21"/>
          <w:highlight w:val="none"/>
          <w:lang w:val="en-US" w:eastAsia="zh-CN"/>
        </w:rPr>
        <w:t xml:space="preserve"> 本工程取土场地设置表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587"/>
        <w:gridCol w:w="1152"/>
        <w:gridCol w:w="1152"/>
        <w:gridCol w:w="1152"/>
        <w:gridCol w:w="1153"/>
        <w:gridCol w:w="1153"/>
        <w:gridCol w:w="1154"/>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20" w:type="dxa"/>
            <w:gridSpan w:val="2"/>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编号</w:t>
            </w:r>
          </w:p>
        </w:tc>
        <w:tc>
          <w:tcPr>
            <w:tcW w:w="1020"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桩号</w:t>
            </w:r>
          </w:p>
        </w:tc>
        <w:tc>
          <w:tcPr>
            <w:tcW w:w="2040" w:type="dxa"/>
            <w:gridSpan w:val="2"/>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位置</w:t>
            </w:r>
            <w:r>
              <w:rPr>
                <w:rFonts w:hint="default" w:ascii="Times New Roman" w:hAnsi="Times New Roman" w:eastAsia="宋体" w:cs="Times New Roman"/>
                <w:b w:val="0"/>
                <w:bCs w:val="0"/>
                <w:color w:val="000000"/>
                <w:kern w:val="0"/>
                <w:sz w:val="21"/>
                <w:szCs w:val="21"/>
                <w:u w:val="none"/>
                <w:vertAlign w:val="baseline"/>
                <w:lang w:val="en-US" w:eastAsia="zh-CN" w:bidi="ar"/>
              </w:rPr>
              <w:t>（m）</w:t>
            </w:r>
          </w:p>
        </w:tc>
        <w:tc>
          <w:tcPr>
            <w:tcW w:w="2042" w:type="dxa"/>
            <w:gridSpan w:val="2"/>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占地类型</w:t>
            </w:r>
            <w:r>
              <w:rPr>
                <w:rFonts w:hint="default" w:ascii="Times New Roman" w:hAnsi="Times New Roman" w:eastAsia="宋体" w:cs="Times New Roman"/>
                <w:b w:val="0"/>
                <w:bCs w:val="0"/>
                <w:color w:val="000000"/>
                <w:kern w:val="0"/>
                <w:sz w:val="21"/>
                <w:szCs w:val="21"/>
                <w:u w:val="none"/>
                <w:vertAlign w:val="baseline"/>
                <w:lang w:val="en-US" w:eastAsia="zh-CN" w:bidi="ar"/>
              </w:rPr>
              <w:t>（hm</w:t>
            </w:r>
            <w:r>
              <w:rPr>
                <w:rFonts w:hint="default" w:ascii="Times New Roman" w:hAnsi="Times New Roman" w:eastAsia="宋体" w:cs="Times New Roman"/>
                <w:b w:val="0"/>
                <w:bCs w:val="0"/>
                <w:color w:val="000000"/>
                <w:kern w:val="0"/>
                <w:sz w:val="21"/>
                <w:szCs w:val="21"/>
                <w:u w:val="none"/>
                <w:vertAlign w:val="superscript"/>
                <w:lang w:val="en-US" w:eastAsia="zh-CN" w:bidi="ar"/>
              </w:rPr>
              <w:t>2</w:t>
            </w:r>
            <w:r>
              <w:rPr>
                <w:rFonts w:hint="default" w:ascii="Times New Roman" w:hAnsi="Times New Roman" w:eastAsia="宋体" w:cs="Times New Roman"/>
                <w:b w:val="0"/>
                <w:bCs w:val="0"/>
                <w:color w:val="000000"/>
                <w:kern w:val="0"/>
                <w:sz w:val="21"/>
                <w:szCs w:val="21"/>
                <w:u w:val="none"/>
                <w:vertAlign w:val="baseline"/>
                <w:lang w:val="en-US" w:eastAsia="zh-CN" w:bidi="ar"/>
              </w:rPr>
              <w:t>）</w:t>
            </w:r>
          </w:p>
        </w:tc>
        <w:tc>
          <w:tcPr>
            <w:tcW w:w="1021"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总面积（hm</w:t>
            </w:r>
            <w:r>
              <w:rPr>
                <w:rFonts w:hint="default" w:ascii="Times New Roman" w:hAnsi="Times New Roman" w:eastAsia="宋体" w:cs="Times New Roman"/>
                <w:b w:val="0"/>
                <w:bCs w:val="0"/>
                <w:color w:val="000000"/>
                <w:kern w:val="0"/>
                <w:sz w:val="21"/>
                <w:szCs w:val="21"/>
                <w:vertAlign w:val="superscript"/>
                <w:lang w:val="en-US" w:eastAsia="zh-CN" w:bidi="ar"/>
              </w:rPr>
              <w:t>2</w:t>
            </w:r>
            <w:r>
              <w:rPr>
                <w:rFonts w:hint="default" w:ascii="Times New Roman" w:hAnsi="Times New Roman" w:eastAsia="宋体" w:cs="Times New Roman"/>
                <w:b w:val="0"/>
                <w:bCs w:val="0"/>
                <w:color w:val="000000"/>
                <w:kern w:val="0"/>
                <w:sz w:val="21"/>
                <w:szCs w:val="21"/>
                <w:vertAlign w:val="baseline"/>
                <w:lang w:val="en-US" w:eastAsia="zh-CN" w:bidi="ar"/>
              </w:rPr>
              <w:t>）</w:t>
            </w:r>
          </w:p>
        </w:tc>
        <w:tc>
          <w:tcPr>
            <w:tcW w:w="1021"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方量（万m</w:t>
            </w:r>
            <w:r>
              <w:rPr>
                <w:rFonts w:hint="default" w:ascii="Times New Roman" w:hAnsi="Times New Roman" w:eastAsia="宋体" w:cs="Times New Roman"/>
                <w:b w:val="0"/>
                <w:bCs w:val="0"/>
                <w:color w:val="000000"/>
                <w:kern w:val="0"/>
                <w:sz w:val="21"/>
                <w:szCs w:val="21"/>
                <w:vertAlign w:val="superscript"/>
                <w:lang w:val="en-US" w:eastAsia="zh-CN" w:bidi="ar"/>
              </w:rPr>
              <w:t>3</w:t>
            </w:r>
            <w:r>
              <w:rPr>
                <w:rFonts w:hint="default" w:ascii="Times New Roman" w:hAnsi="Times New Roman" w:eastAsia="宋体" w:cs="Times New Roman"/>
                <w:b w:val="0"/>
                <w:bCs w:val="0"/>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20" w:type="dxa"/>
            <w:gridSpan w:val="2"/>
            <w:vMerge w:val="continue"/>
            <w:noWrap w:val="0"/>
            <w:vAlign w:val="center"/>
          </w:tcPr>
          <w:p>
            <w:pPr>
              <w:keepNext w:val="0"/>
              <w:keepLines w:val="0"/>
              <w:widowControl/>
              <w:jc w:val="center"/>
              <w:textAlignment w:val="center"/>
              <w:rPr>
                <w:rFonts w:hint="default" w:ascii="Times New Roman" w:hAnsi="Times New Roman" w:cs="Times New Roman"/>
                <w:b w:val="0"/>
                <w:bCs w:val="0"/>
                <w:sz w:val="21"/>
                <w:szCs w:val="21"/>
              </w:rPr>
            </w:pPr>
          </w:p>
        </w:tc>
        <w:tc>
          <w:tcPr>
            <w:tcW w:w="102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左</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右</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荒地</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耕地</w:t>
            </w:r>
          </w:p>
        </w:tc>
        <w:tc>
          <w:tcPr>
            <w:tcW w:w="1021"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取土场</w:t>
            </w: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K0+240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0.5</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0.2</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0.7</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K0+240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0.5</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0.1</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0.6</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K1+077</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0.7</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0.3</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K1+177</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0.4</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1.3</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K3+838</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弃渣场</w:t>
            </w:r>
          </w:p>
        </w:tc>
        <w:tc>
          <w:tcPr>
            <w:tcW w:w="51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K1+500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w:t>
            </w:r>
          </w:p>
        </w:tc>
        <w:tc>
          <w:tcPr>
            <w:tcW w:w="1020"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0.7</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0.1</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0.8</w:t>
            </w:r>
          </w:p>
        </w:tc>
        <w:tc>
          <w:tcPr>
            <w:tcW w:w="102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w:t>
            </w:r>
          </w:p>
        </w:tc>
      </w:tr>
    </w:tbl>
    <w:p>
      <w:pPr>
        <w:bidi w:val="0"/>
        <w:rPr>
          <w:rFonts w:hint="default"/>
          <w:lang w:val="en-US" w:eastAsia="zh-CN"/>
        </w:rPr>
      </w:pP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2.7.2.施工场地</w:t>
      </w:r>
    </w:p>
    <w:p>
      <w:pPr>
        <w:adjustRightInd/>
        <w:snapToGrid/>
        <w:spacing w:line="360" w:lineRule="auto"/>
        <w:ind w:firstLine="480" w:firstLineChars="200"/>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根据实地考察情况和施工需要，本工程附近有集中居民区，因此不设置办公</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住宿设施，施工项目经理部</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施工人员住宿租用当地民房。结合道路施工经验</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实际筑路需要和沿线地形条件，各单元工程施工场地的布置以方便施工为原则。本工程在溪口村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和四合村附近各布设 1处施工场地，共2处施工场地，并作为桥梁施工工区，内布置骨料堆放场地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预制场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沉淀池等设施。施工场地布置在道路范围内。</w:t>
      </w:r>
    </w:p>
    <w:p>
      <w:pPr>
        <w:adjustRightInd/>
        <w:snapToGrid/>
        <w:spacing w:line="240" w:lineRule="auto"/>
        <w:ind w:firstLine="422" w:firstLineChars="20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表2</w:t>
      </w:r>
      <w:r>
        <w:rPr>
          <w:rFonts w:hint="default" w:ascii="Times New Roman" w:hAnsi="Times New Roman" w:cs="Times New Roman"/>
          <w:b/>
          <w:bCs/>
          <w:sz w:val="21"/>
          <w:szCs w:val="21"/>
          <w:highlight w:val="none"/>
          <w:lang w:val="en-US" w:eastAsia="zh-CN"/>
        </w:rPr>
        <w:t>.7-2</w:t>
      </w:r>
      <w:r>
        <w:rPr>
          <w:rFonts w:hint="default" w:ascii="Times New Roman" w:hAnsi="Times New Roman" w:eastAsia="宋体" w:cs="Times New Roman"/>
          <w:b/>
          <w:bCs/>
          <w:sz w:val="21"/>
          <w:szCs w:val="21"/>
          <w:highlight w:val="none"/>
          <w:lang w:val="en-US" w:eastAsia="zh-CN"/>
        </w:rPr>
        <w:t xml:space="preserve"> 本工程施工场地设置表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311"/>
        <w:gridCol w:w="2312"/>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0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序号</w:t>
            </w:r>
          </w:p>
        </w:tc>
        <w:tc>
          <w:tcPr>
            <w:tcW w:w="1603"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场站</w:t>
            </w:r>
          </w:p>
        </w:tc>
        <w:tc>
          <w:tcPr>
            <w:tcW w:w="1604"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桩号</w:t>
            </w:r>
          </w:p>
        </w:tc>
        <w:tc>
          <w:tcPr>
            <w:tcW w:w="1605"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占地类型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1603"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桥梁预制场</w:t>
            </w:r>
            <w:r>
              <w:rPr>
                <w:rFonts w:hint="eastAsia" w:ascii="Times New Roman" w:hAnsi="Times New Roman" w:cs="Times New Roman"/>
                <w:b w:val="0"/>
                <w:bCs w:val="0"/>
                <w:color w:val="000000"/>
                <w:kern w:val="0"/>
                <w:sz w:val="21"/>
                <w:szCs w:val="21"/>
                <w:vertAlign w:val="baseline"/>
                <w:lang w:val="en-US" w:eastAsia="zh-CN" w:bidi="ar"/>
              </w:rPr>
              <w:t>、</w:t>
            </w:r>
            <w:r>
              <w:rPr>
                <w:rFonts w:hint="default" w:ascii="Times New Roman" w:hAnsi="Times New Roman" w:eastAsia="宋体" w:cs="Times New Roman"/>
                <w:b w:val="0"/>
                <w:bCs w:val="0"/>
                <w:color w:val="000000"/>
                <w:kern w:val="0"/>
                <w:sz w:val="21"/>
                <w:szCs w:val="21"/>
                <w:vertAlign w:val="baseline"/>
                <w:lang w:val="en-US" w:eastAsia="zh-CN" w:bidi="ar"/>
              </w:rPr>
              <w:t>钢筋棚</w:t>
            </w:r>
          </w:p>
        </w:tc>
        <w:tc>
          <w:tcPr>
            <w:tcW w:w="1604"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K2+750</w:t>
            </w:r>
          </w:p>
        </w:tc>
        <w:tc>
          <w:tcPr>
            <w:tcW w:w="1605" w:type="dxa"/>
            <w:vMerge w:val="restart"/>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利用主线路基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w:t>
            </w:r>
          </w:p>
        </w:tc>
        <w:tc>
          <w:tcPr>
            <w:tcW w:w="1603"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604" w:type="dxa"/>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K3+650</w:t>
            </w:r>
          </w:p>
        </w:tc>
        <w:tc>
          <w:tcPr>
            <w:tcW w:w="1605" w:type="dxa"/>
            <w:vMerge w:val="continue"/>
            <w:noWrap w:val="0"/>
            <w:vAlign w:val="center"/>
          </w:tcPr>
          <w:p>
            <w:pPr>
              <w:keepNext w:val="0"/>
              <w:keepLines w:val="0"/>
              <w:widowControl/>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p>
        </w:tc>
      </w:tr>
    </w:tbl>
    <w:p>
      <w:pPr>
        <w:bidi w:val="0"/>
        <w:rPr>
          <w:rFonts w:hint="default"/>
          <w:lang w:val="en-US" w:eastAsia="zh-CN"/>
        </w:rPr>
      </w:pP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2.7.3.施工便道</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spacing w:val="-1"/>
          <w:kern w:val="0"/>
          <w:szCs w:val="24"/>
        </w:rPr>
      </w:pPr>
      <w:r>
        <w:rPr>
          <w:rFonts w:hint="default" w:ascii="Times New Roman" w:hAnsi="Times New Roman" w:eastAsia="宋体" w:cs="Times New Roman"/>
          <w:b w:val="0"/>
          <w:bCs w:val="0"/>
          <w:sz w:val="24"/>
          <w:szCs w:val="24"/>
          <w:highlight w:val="none"/>
          <w:lang w:val="en-US" w:eastAsia="zh-CN" w:bidi="zh-CN"/>
        </w:rPr>
        <w:t>为便于沿线土方调配</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材料运输</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施工机械设备进出场，在充分利用现有道路条件的基础上，设置了部分横向和纵向施工便道，全线新建施工便道4.938km，利用部分原有村道880m，施工完成后需对村道路面进行恢复。</w:t>
      </w:r>
    </w:p>
    <w:p>
      <w:pPr>
        <w:adjustRightInd/>
        <w:snapToGrid/>
        <w:spacing w:line="240" w:lineRule="auto"/>
        <w:ind w:firstLine="422" w:firstLineChars="200"/>
        <w:jc w:val="center"/>
        <w:rPr>
          <w:rFonts w:hint="default" w:ascii="Times New Roman" w:hAnsi="Times New Roman" w:cs="Times New Roman"/>
        </w:rPr>
      </w:pPr>
      <w:r>
        <w:rPr>
          <w:rFonts w:hint="default" w:ascii="Times New Roman" w:hAnsi="Times New Roman" w:eastAsia="宋体" w:cs="Times New Roman"/>
          <w:b/>
          <w:bCs/>
          <w:sz w:val="21"/>
          <w:szCs w:val="21"/>
          <w:highlight w:val="none"/>
          <w:lang w:val="en-US" w:eastAsia="zh-CN"/>
        </w:rPr>
        <w:t>表2</w:t>
      </w:r>
      <w:r>
        <w:rPr>
          <w:rFonts w:hint="default" w:ascii="Times New Roman" w:hAnsi="Times New Roman" w:cs="Times New Roman"/>
          <w:b/>
          <w:bCs/>
          <w:sz w:val="21"/>
          <w:szCs w:val="21"/>
          <w:highlight w:val="none"/>
          <w:lang w:val="en-US" w:eastAsia="zh-CN"/>
        </w:rPr>
        <w:t>.7-</w:t>
      </w:r>
      <w:r>
        <w:rPr>
          <w:rFonts w:hint="eastAsia" w:ascii="Times New Roman" w:hAnsi="Times New Roman" w:cs="Times New Roman"/>
          <w:b/>
          <w:bCs/>
          <w:sz w:val="21"/>
          <w:szCs w:val="21"/>
          <w:highlight w:val="none"/>
          <w:lang w:val="en-US" w:eastAsia="zh-CN"/>
        </w:rPr>
        <w:t>3</w:t>
      </w:r>
      <w:r>
        <w:rPr>
          <w:rFonts w:hint="default" w:ascii="Times New Roman" w:hAnsi="Times New Roman" w:eastAsia="宋体" w:cs="Times New Roman"/>
          <w:b/>
          <w:bCs/>
          <w:sz w:val="21"/>
          <w:szCs w:val="21"/>
          <w:highlight w:val="none"/>
          <w:lang w:val="en-US" w:eastAsia="zh-CN"/>
        </w:rPr>
        <w:t xml:space="preserve"> 本工程施工</w:t>
      </w:r>
      <w:r>
        <w:rPr>
          <w:rFonts w:hint="default" w:ascii="Times New Roman" w:hAnsi="Times New Roman" w:cs="Times New Roman"/>
          <w:b/>
          <w:bCs/>
          <w:sz w:val="21"/>
          <w:szCs w:val="21"/>
          <w:highlight w:val="none"/>
          <w:lang w:val="en-US" w:eastAsia="zh-CN"/>
        </w:rPr>
        <w:t>便道</w:t>
      </w:r>
      <w:r>
        <w:rPr>
          <w:rFonts w:hint="default" w:ascii="Times New Roman" w:hAnsi="Times New Roman" w:eastAsia="宋体" w:cs="Times New Roman"/>
          <w:b/>
          <w:bCs/>
          <w:sz w:val="21"/>
          <w:szCs w:val="21"/>
          <w:highlight w:val="none"/>
          <w:lang w:val="en-US" w:eastAsia="zh-CN"/>
        </w:rPr>
        <w:t>设置表</w:t>
      </w:r>
    </w:p>
    <w:tbl>
      <w:tblPr>
        <w:tblStyle w:val="17"/>
        <w:tblW w:w="487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5"/>
        <w:gridCol w:w="2232"/>
        <w:gridCol w:w="1429"/>
        <w:gridCol w:w="1664"/>
        <w:gridCol w:w="1869"/>
        <w:gridCol w:w="1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35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b/>
                <w:bCs/>
                <w:i w:val="0"/>
                <w:iCs w:val="0"/>
                <w:color w:val="000000"/>
                <w:sz w:val="21"/>
                <w:szCs w:val="21"/>
                <w:u w:val="none"/>
                <w:lang w:val="en-US" w:eastAsia="zh-CN"/>
              </w:rPr>
            </w:pPr>
            <w:r>
              <w:rPr>
                <w:rFonts w:hint="default" w:ascii="Times New Roman" w:hAnsi="Times New Roman" w:eastAsia="宋体" w:cs="Times New Roman"/>
                <w:b/>
                <w:bCs/>
                <w:i w:val="0"/>
                <w:iCs w:val="0"/>
                <w:color w:val="000000"/>
                <w:sz w:val="21"/>
                <w:szCs w:val="21"/>
                <w:u w:val="none"/>
                <w:lang w:val="en-US" w:eastAsia="zh-CN"/>
              </w:rPr>
              <w:t>序号</w:t>
            </w:r>
          </w:p>
        </w:tc>
        <w:tc>
          <w:tcPr>
            <w:tcW w:w="185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桩号</w:t>
            </w:r>
          </w:p>
        </w:tc>
        <w:tc>
          <w:tcPr>
            <w:tcW w:w="118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工程内容</w:t>
            </w:r>
          </w:p>
        </w:tc>
        <w:tc>
          <w:tcPr>
            <w:tcW w:w="4492" w:type="dxa"/>
            <w:gridSpan w:val="3"/>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便道标准与宽度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jc w:val="center"/>
        </w:trPr>
        <w:tc>
          <w:tcPr>
            <w:tcW w:w="35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18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118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宽度  （m）</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长度（m）</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路面类型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35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K0+500右侧</w:t>
            </w:r>
          </w:p>
        </w:tc>
        <w:tc>
          <w:tcPr>
            <w:tcW w:w="11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村道恢复</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35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K0+950右侧</w:t>
            </w:r>
          </w:p>
        </w:tc>
        <w:tc>
          <w:tcPr>
            <w:tcW w:w="11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村道恢复</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180 </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35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K1+900右侧</w:t>
            </w:r>
          </w:p>
        </w:tc>
        <w:tc>
          <w:tcPr>
            <w:tcW w:w="11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村道恢复</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200 </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35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85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K2+300～K2+540</w:t>
            </w:r>
          </w:p>
        </w:tc>
        <w:tc>
          <w:tcPr>
            <w:tcW w:w="11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村道恢复</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400 </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35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85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K0+100～K3+600</w:t>
            </w:r>
          </w:p>
        </w:tc>
        <w:tc>
          <w:tcPr>
            <w:tcW w:w="11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新建便道</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3500 </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35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85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K2+900～K3+100</w:t>
            </w:r>
          </w:p>
        </w:tc>
        <w:tc>
          <w:tcPr>
            <w:tcW w:w="11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新建便道</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35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85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K3+000～K3+700</w:t>
            </w:r>
          </w:p>
        </w:tc>
        <w:tc>
          <w:tcPr>
            <w:tcW w:w="11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新建便道</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35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85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K3+700～K3+859</w:t>
            </w:r>
          </w:p>
        </w:tc>
        <w:tc>
          <w:tcPr>
            <w:tcW w:w="118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新建便道</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239 </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w:t>
            </w:r>
          </w:p>
        </w:tc>
      </w:tr>
    </w:tbl>
    <w:p>
      <w:pPr>
        <w:bidi w:val="0"/>
        <w:rPr>
          <w:rFonts w:hint="default"/>
          <w:lang w:val="en-US" w:eastAsia="zh-CN"/>
        </w:rPr>
      </w:pP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2.7.4.其他临时工程</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本次环评工作以工可设计文件为依据，工可阶段暂未确定项目施工营地的设置方案，环评根据实地考察情况和施工需要，本工程附近有集中居民区，建议不设置办公</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住宿设施，施工项目经理部</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施工人员住宿租用当地民房。</w:t>
      </w:r>
    </w:p>
    <w:p>
      <w:pPr>
        <w:pStyle w:val="4"/>
        <w:bidi w:val="0"/>
        <w:rPr>
          <w:rFonts w:hint="default"/>
          <w:lang w:val="en-US" w:eastAsia="zh-CN"/>
        </w:rPr>
      </w:pPr>
      <w:bookmarkStart w:id="74" w:name="_Toc19274"/>
      <w:r>
        <w:rPr>
          <w:rFonts w:hint="default"/>
          <w:lang w:val="en-US" w:eastAsia="zh-CN"/>
        </w:rPr>
        <w:t>2.8.工程占地</w:t>
      </w:r>
      <w:bookmarkEnd w:id="74"/>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本工程永久占地235.2亩，占地类型主要包括林地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耕地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旱地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交通运输用地等；临时占地为取土场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弃渣场，占地类型为荒地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耕地。</w:t>
      </w:r>
    </w:p>
    <w:p>
      <w:pPr>
        <w:pStyle w:val="4"/>
        <w:bidi w:val="0"/>
        <w:rPr>
          <w:rFonts w:hint="default"/>
          <w:lang w:val="en-US" w:eastAsia="zh-CN"/>
        </w:rPr>
      </w:pPr>
      <w:bookmarkStart w:id="75" w:name="_Toc17269"/>
      <w:r>
        <w:rPr>
          <w:rFonts w:hint="default"/>
          <w:lang w:val="en-US" w:eastAsia="zh-CN"/>
        </w:rPr>
        <w:t>2.9.施工工艺</w:t>
      </w:r>
      <w:bookmarkEnd w:id="75"/>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根据实地考察情况和施工需要，本工程附近有集中居民区，因此不设置办公</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住宿设施，施工项目经理部</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施工人员住宿租用当地民房。结合道路施工经验</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实际筑路需要和沿线地形条件，各单元工程施工场地的布置以方便施工为原则。本工程在福善村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溪口村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和四合村附近各布设 1处施工场地，并作为桥梁施工工区，施工场地内布置骨料堆放场地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预制场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沉淀池等设施。施工场地布置在道路范围内。</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本项目主要为新建道路工程。其施工工艺分述如下：</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新建道路内容包括施工准备</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路基工程</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路面工程</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附属工程等。附属工程主要包括护栏</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标志</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标线等。道路工程施工期的工艺流程及产污情况见下图：</w:t>
      </w:r>
    </w:p>
    <w:p>
      <w:pPr>
        <w:numPr>
          <w:ilvl w:val="0"/>
          <w:numId w:val="0"/>
        </w:numPr>
        <w:tabs>
          <w:tab w:val="left" w:pos="0"/>
        </w:tabs>
        <w:autoSpaceDE w:val="0"/>
        <w:autoSpaceDN w:val="0"/>
        <w:adjustRightInd w:val="0"/>
        <w:spacing w:line="240" w:lineRule="auto"/>
        <w:jc w:val="center"/>
        <w:outlineLvl w:val="9"/>
        <w:rPr>
          <w:rFonts w:hint="default" w:ascii="Times New Roman" w:hAnsi="Times New Roman" w:eastAsia="宋体" w:cs="Times New Roman"/>
          <w:b w:val="0"/>
          <w:bCs w:val="0"/>
          <w:kern w:val="0"/>
          <w:szCs w:val="21"/>
          <w:highlight w:val="none"/>
        </w:rPr>
      </w:pPr>
      <w:r>
        <w:rPr>
          <w:rFonts w:hint="default" w:ascii="Times New Roman" w:hAnsi="Times New Roman" w:cs="Times New Roman"/>
          <w:b w:val="0"/>
          <w:bCs w:val="0"/>
          <w:szCs w:val="21"/>
        </w:rPr>
        <w:drawing>
          <wp:inline distT="0" distB="0" distL="114300" distR="114300">
            <wp:extent cx="4020185" cy="1539240"/>
            <wp:effectExtent l="0" t="0" r="18415" b="3810"/>
            <wp:docPr id="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7"/>
                    <pic:cNvPicPr>
                      <a:picLocks noChangeAspect="1"/>
                    </pic:cNvPicPr>
                  </pic:nvPicPr>
                  <pic:blipFill>
                    <a:blip r:embed="rId23"/>
                    <a:stretch>
                      <a:fillRect/>
                    </a:stretch>
                  </pic:blipFill>
                  <pic:spPr>
                    <a:xfrm>
                      <a:off x="0" y="0"/>
                      <a:ext cx="4020185" cy="1539240"/>
                    </a:xfrm>
                    <a:prstGeom prst="rect">
                      <a:avLst/>
                    </a:prstGeom>
                    <a:noFill/>
                    <a:ln>
                      <a:noFill/>
                    </a:ln>
                  </pic:spPr>
                </pic:pic>
              </a:graphicData>
            </a:graphic>
          </wp:inline>
        </w:drawing>
      </w:r>
    </w:p>
    <w:p>
      <w:pPr>
        <w:numPr>
          <w:ilvl w:val="0"/>
          <w:numId w:val="0"/>
        </w:numPr>
        <w:tabs>
          <w:tab w:val="left" w:pos="0"/>
        </w:tabs>
        <w:autoSpaceDE w:val="0"/>
        <w:autoSpaceDN w:val="0"/>
        <w:adjustRightInd w:val="0"/>
        <w:spacing w:line="360" w:lineRule="auto"/>
        <w:jc w:val="center"/>
        <w:outlineLvl w:val="9"/>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lang w:val="en-US" w:eastAsia="zh-CN"/>
        </w:rPr>
        <w:t>附图2</w:t>
      </w:r>
      <w:r>
        <w:rPr>
          <w:rFonts w:hint="default" w:ascii="Times New Roman" w:hAnsi="Times New Roman" w:cs="Times New Roman"/>
          <w:b/>
          <w:bCs/>
          <w:kern w:val="0"/>
          <w:sz w:val="21"/>
          <w:szCs w:val="21"/>
          <w:highlight w:val="none"/>
          <w:lang w:val="en-US" w:eastAsia="zh-CN"/>
        </w:rPr>
        <w:t>.</w:t>
      </w:r>
      <w:r>
        <w:rPr>
          <w:rFonts w:hint="eastAsia" w:ascii="Times New Roman" w:hAnsi="Times New Roman" w:cs="Times New Roman"/>
          <w:b/>
          <w:bCs/>
          <w:kern w:val="0"/>
          <w:sz w:val="21"/>
          <w:szCs w:val="21"/>
          <w:highlight w:val="none"/>
          <w:lang w:val="en-US" w:eastAsia="zh-CN"/>
        </w:rPr>
        <w:t>9</w:t>
      </w:r>
      <w:r>
        <w:rPr>
          <w:rFonts w:hint="default" w:ascii="Times New Roman" w:hAnsi="Times New Roman" w:eastAsia="宋体" w:cs="Times New Roman"/>
          <w:b/>
          <w:bCs/>
          <w:kern w:val="0"/>
          <w:sz w:val="21"/>
          <w:szCs w:val="21"/>
          <w:highlight w:val="none"/>
          <w:lang w:val="en-US" w:eastAsia="zh-CN"/>
        </w:rPr>
        <w:t xml:space="preserve">-1 </w:t>
      </w:r>
      <w:r>
        <w:rPr>
          <w:rFonts w:hint="default" w:ascii="Times New Roman" w:hAnsi="Times New Roman" w:eastAsia="宋体" w:cs="Times New Roman"/>
          <w:b/>
          <w:bCs/>
          <w:kern w:val="0"/>
          <w:sz w:val="21"/>
          <w:szCs w:val="21"/>
          <w:highlight w:val="none"/>
        </w:rPr>
        <w:t>道路工程施工期工艺流程及产污位置图</w:t>
      </w:r>
    </w:p>
    <w:p>
      <w:pPr>
        <w:keepNext w:val="0"/>
        <w:keepLines w:val="0"/>
        <w:pageBreakBefore w:val="0"/>
        <w:widowControl/>
        <w:numPr>
          <w:ilvl w:val="0"/>
          <w:numId w:val="0"/>
        </w:numPr>
        <w:tabs>
          <w:tab w:val="left" w:pos="0"/>
        </w:tabs>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宋体" w:cs="Times New Roman"/>
          <w:b w:val="0"/>
          <w:bCs w:val="0"/>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Cs w:val="21"/>
          <w:highlight w:val="none"/>
          <w:lang w:val="en-US" w:eastAsia="zh-CN"/>
        </w:rPr>
      </w:pPr>
      <w:r>
        <w:rPr>
          <w:rFonts w:hint="default" w:ascii="Times New Roman" w:hAnsi="Times New Roman" w:cs="Times New Roman"/>
          <w:b w:val="0"/>
          <w:bCs w:val="0"/>
          <w:szCs w:val="21"/>
        </w:rPr>
        <w:drawing>
          <wp:inline distT="0" distB="0" distL="114300" distR="114300">
            <wp:extent cx="4057650" cy="1104900"/>
            <wp:effectExtent l="0" t="0" r="0" b="0"/>
            <wp:docPr id="1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8"/>
                    <pic:cNvPicPr>
                      <a:picLocks noChangeAspect="1"/>
                    </pic:cNvPicPr>
                  </pic:nvPicPr>
                  <pic:blipFill>
                    <a:blip r:embed="rId24"/>
                    <a:stretch>
                      <a:fillRect/>
                    </a:stretch>
                  </pic:blipFill>
                  <pic:spPr>
                    <a:xfrm>
                      <a:off x="0" y="0"/>
                      <a:ext cx="4057650" cy="1104900"/>
                    </a:xfrm>
                    <a:prstGeom prst="rect">
                      <a:avLst/>
                    </a:prstGeom>
                    <a:noFill/>
                    <a:ln>
                      <a:noFill/>
                    </a:ln>
                  </pic:spPr>
                </pic:pic>
              </a:graphicData>
            </a:graphic>
          </wp:inline>
        </w:drawing>
      </w:r>
    </w:p>
    <w:p>
      <w:pPr>
        <w:numPr>
          <w:ilvl w:val="0"/>
          <w:numId w:val="0"/>
        </w:numPr>
        <w:tabs>
          <w:tab w:val="left" w:pos="0"/>
        </w:tabs>
        <w:autoSpaceDE w:val="0"/>
        <w:autoSpaceDN w:val="0"/>
        <w:adjustRightInd w:val="0"/>
        <w:spacing w:line="360" w:lineRule="auto"/>
        <w:jc w:val="center"/>
        <w:outlineLvl w:val="9"/>
        <w:rPr>
          <w:rFonts w:hint="default" w:ascii="Times New Roman" w:hAnsi="Times New Roman" w:eastAsia="宋体" w:cs="Times New Roman"/>
          <w:b/>
          <w:bCs/>
          <w:kern w:val="0"/>
          <w:sz w:val="21"/>
          <w:szCs w:val="21"/>
          <w:highlight w:val="none"/>
          <w:lang w:val="en-US" w:eastAsia="zh-CN"/>
        </w:rPr>
      </w:pPr>
      <w:r>
        <w:rPr>
          <w:rFonts w:hint="default" w:ascii="Times New Roman" w:hAnsi="Times New Roman" w:eastAsia="宋体" w:cs="Times New Roman"/>
          <w:b/>
          <w:bCs/>
          <w:kern w:val="0"/>
          <w:sz w:val="21"/>
          <w:szCs w:val="21"/>
          <w:highlight w:val="none"/>
          <w:lang w:val="en-US" w:eastAsia="zh-CN"/>
        </w:rPr>
        <w:t>附图2.</w:t>
      </w:r>
      <w:r>
        <w:rPr>
          <w:rFonts w:hint="eastAsia" w:ascii="Times New Roman" w:hAnsi="Times New Roman" w:cs="Times New Roman"/>
          <w:b/>
          <w:bCs/>
          <w:kern w:val="0"/>
          <w:sz w:val="21"/>
          <w:szCs w:val="21"/>
          <w:highlight w:val="none"/>
          <w:lang w:val="en-US" w:eastAsia="zh-CN"/>
        </w:rPr>
        <w:t>9</w:t>
      </w:r>
      <w:r>
        <w:rPr>
          <w:rFonts w:hint="default" w:ascii="Times New Roman" w:hAnsi="Times New Roman" w:eastAsia="宋体" w:cs="Times New Roman"/>
          <w:b/>
          <w:bCs/>
          <w:kern w:val="0"/>
          <w:sz w:val="21"/>
          <w:szCs w:val="21"/>
          <w:highlight w:val="none"/>
          <w:lang w:val="en-US" w:eastAsia="zh-CN"/>
        </w:rPr>
        <w:t>-2 桥梁工程施工期工艺流程及产污位置图</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1）施工准备</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路基占地范围施工场地需清除表土，清表要彻底，清表后地表无腐殖土</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树根</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草根</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杂物等，清表土方量以业主</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监理现场确认量为准。</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2）路基施工</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按照设计标高铺设碎石层，再覆土压实，拟采用推土机摊铺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整平</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初压，再用振动压路机碾压密实。施工中应采用水平分层</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纵向分段，以机械施工为主</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人工为辅的作业方法施工。分层填筑厚度及填料粒径应根据设计要求。路基填筑施工要点如下：</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①完成中线和边线放样，定出路堤的坡脚位置，整理工作场地。</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②填筑按照规范设置一定的排水横坡，或开挖临时排水沟，以利施工场地排水，有沟渠横跨路基时，铺设临时排水管道以免造成不必要的干扰。</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③路基采用砂砾（卵）石土或碎石土填筑。为做到规范</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文明施工，在铺筑前用白灰画出边线，同时在中心线和边缘线上设置松铺厚度控制桩，以对松铺厚度进行有效地控制。</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④路堤摊铺，采用推土机和人工相结合的方式进行摊铺。在摊铺时，摊铺宽度（外缘边线）超过该层路基设计宽度15~30cm，以保证在边坡修整后路基宽度和路肩处的密实度能满足设计要求。</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⑤碾压：碾压时先静后振再静，先慢后快，先边后中地进行碾压。用振动压路机进行碾压，碾压均匀，做到无漏压</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无死角。填筑完每一层后，用灌砂法进行压实度或固体体积率的检测，达到所要求的压实度标准后，进行上一层的填筑，否则进行补压。</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⑥临时排水：利用项目区附近排水渠道进行排水。</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（3</w:t>
      </w:r>
      <w:r>
        <w:rPr>
          <w:rFonts w:hint="default" w:ascii="Times New Roman" w:hAnsi="Times New Roman" w:eastAsia="宋体" w:cs="Times New Roman"/>
          <w:b w:val="0"/>
          <w:bCs w:val="0"/>
          <w:sz w:val="24"/>
          <w:szCs w:val="24"/>
          <w:highlight w:val="none"/>
          <w:lang w:val="en-US" w:eastAsia="zh-CN" w:bidi="zh-CN"/>
        </w:rPr>
        <w:t>）路面工程</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砂砾石基层处理工程完成后，做水泥稳定级配碎石基层，并且机械压实平整，即可铺设沥青混凝土路面，路面施工要点如下：</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①路段施工时，必须</w:t>
      </w:r>
      <w:r>
        <w:rPr>
          <w:rFonts w:hint="eastAsia" w:ascii="Times New Roman" w:hAnsi="Times New Roman" w:cs="Times New Roman"/>
          <w:b w:val="0"/>
          <w:bCs w:val="0"/>
          <w:sz w:val="24"/>
          <w:szCs w:val="24"/>
          <w:highlight w:val="none"/>
          <w:lang w:val="en-US" w:eastAsia="zh-CN" w:bidi="zh-CN"/>
        </w:rPr>
        <w:t>做好</w:t>
      </w:r>
      <w:r>
        <w:rPr>
          <w:rFonts w:hint="default" w:ascii="Times New Roman" w:hAnsi="Times New Roman" w:eastAsia="宋体" w:cs="Times New Roman"/>
          <w:b w:val="0"/>
          <w:bCs w:val="0"/>
          <w:sz w:val="24"/>
          <w:szCs w:val="24"/>
          <w:highlight w:val="none"/>
          <w:lang w:val="en-US" w:eastAsia="zh-CN" w:bidi="zh-CN"/>
        </w:rPr>
        <w:t>详细的施工组织计划，分段分幅施工，以保证交通运输</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施工作业两不误。</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②本项目购买的水泥砂浆结合层和砼垫层应严格执行配合比，并在最佳含水量时进行碾压</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保湿养护，在铺筑水泥砼路面前不得开放交通，压实度按规定频率检查，并以即将铺筑面层之前的检查为准。</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（4</w:t>
      </w:r>
      <w:r>
        <w:rPr>
          <w:rFonts w:hint="default" w:ascii="Times New Roman" w:hAnsi="Times New Roman" w:eastAsia="宋体" w:cs="Times New Roman"/>
          <w:b w:val="0"/>
          <w:bCs w:val="0"/>
          <w:sz w:val="24"/>
          <w:szCs w:val="24"/>
          <w:highlight w:val="none"/>
          <w:lang w:val="en-US" w:eastAsia="zh-CN" w:bidi="zh-CN"/>
        </w:rPr>
        <w:t>）防护工程及排水工程</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全线路基防护及排水工程基本采用石砌圬工。由于技术难度低，可全部采用人工安砌，因此应充分发挥当地民工工匠的作用。道路边沟</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排水沟</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截水沟</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急流槽等构造物砌筑时，应选用尺寸</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规格及力学强度合格的石料，场外冲洗干净后，车运入场，人工挂线砌筑，沟道各部分构造均应衔接顺畅，设置在软基路堤部分的边沟</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排水沟应在地基沉降基本完成后进行施工。</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（5</w:t>
      </w:r>
      <w:r>
        <w:rPr>
          <w:rFonts w:hint="default" w:ascii="Times New Roman" w:hAnsi="Times New Roman" w:eastAsia="宋体" w:cs="Times New Roman"/>
          <w:b w:val="0"/>
          <w:bCs w:val="0"/>
          <w:sz w:val="24"/>
          <w:szCs w:val="24"/>
          <w:highlight w:val="none"/>
          <w:lang w:val="en-US" w:eastAsia="zh-CN" w:bidi="zh-CN"/>
        </w:rPr>
        <w:t>）桥梁工程</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本项目拟建2座跨河桥梁，分别跨越渠江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eastAsia="宋体" w:cs="Times New Roman"/>
          <w:b w:val="0"/>
          <w:bCs w:val="0"/>
          <w:sz w:val="24"/>
          <w:szCs w:val="24"/>
          <w:highlight w:val="none"/>
          <w:lang w:val="en-US" w:eastAsia="zh-CN" w:bidi="zh-CN"/>
        </w:rPr>
        <w:t>，四合大桥长度108m，中心桩号 K2+915.0（K2+871.0~K2+979.0），孔数及孔径4×25m，跨越处河流宽度约9m，桥墩均位于河岸；临巴中桥长度88m，中心桩号 K3+791.0（K3+750.0~K3+838.0），孔数及孔径3×25m，跨越处河流宽度约8m，桥墩均位于河岸。</w:t>
      </w:r>
    </w:p>
    <w:p>
      <w:pPr>
        <w:pStyle w:val="16"/>
        <w:keepNext w:val="0"/>
        <w:keepLines w:val="0"/>
        <w:widowControl/>
        <w:suppressLineNumbers w:val="0"/>
        <w:spacing w:before="0" w:beforeAutospacing="0" w:after="0" w:afterAutospacing="0" w:line="360" w:lineRule="auto"/>
        <w:ind w:left="0" w:right="0" w:firstLine="420" w:firstLineChars="20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4819650" cy="2514600"/>
            <wp:effectExtent l="0" t="0" r="0" b="0"/>
            <wp:docPr id="19" name="图片 19" descr="中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桥1"/>
                    <pic:cNvPicPr>
                      <a:picLocks noChangeAspect="1"/>
                    </pic:cNvPicPr>
                  </pic:nvPicPr>
                  <pic:blipFill>
                    <a:blip r:embed="rId25"/>
                    <a:stretch>
                      <a:fillRect/>
                    </a:stretch>
                  </pic:blipFill>
                  <pic:spPr>
                    <a:xfrm>
                      <a:off x="0" y="0"/>
                      <a:ext cx="4819650" cy="2514600"/>
                    </a:xfrm>
                    <a:prstGeom prst="rect">
                      <a:avLst/>
                    </a:prstGeom>
                  </pic:spPr>
                </pic:pic>
              </a:graphicData>
            </a:graphic>
          </wp:inline>
        </w:drawing>
      </w:r>
    </w:p>
    <w:p>
      <w:pPr>
        <w:numPr>
          <w:ilvl w:val="0"/>
          <w:numId w:val="0"/>
        </w:numPr>
        <w:tabs>
          <w:tab w:val="left" w:pos="0"/>
        </w:tabs>
        <w:autoSpaceDE w:val="0"/>
        <w:autoSpaceDN w:val="0"/>
        <w:adjustRightInd w:val="0"/>
        <w:spacing w:line="360" w:lineRule="auto"/>
        <w:jc w:val="center"/>
        <w:outlineLvl w:val="9"/>
        <w:rPr>
          <w:rFonts w:hint="default" w:ascii="Times New Roman" w:hAnsi="Times New Roman" w:eastAsia="宋体" w:cs="Times New Roman"/>
          <w:b/>
          <w:bCs/>
          <w:kern w:val="0"/>
          <w:sz w:val="21"/>
          <w:szCs w:val="21"/>
          <w:highlight w:val="none"/>
          <w:lang w:val="en-US" w:eastAsia="zh-CN"/>
        </w:rPr>
      </w:pPr>
      <w:r>
        <w:rPr>
          <w:rFonts w:hint="default" w:ascii="Times New Roman" w:hAnsi="Times New Roman" w:eastAsia="宋体" w:cs="Times New Roman"/>
          <w:b/>
          <w:bCs/>
          <w:kern w:val="0"/>
          <w:sz w:val="21"/>
          <w:szCs w:val="21"/>
          <w:highlight w:val="none"/>
          <w:lang w:val="en-US" w:eastAsia="zh-CN"/>
        </w:rPr>
        <w:t>图2.</w:t>
      </w:r>
      <w:r>
        <w:rPr>
          <w:rFonts w:hint="eastAsia" w:ascii="Times New Roman" w:hAnsi="Times New Roman" w:cs="Times New Roman"/>
          <w:b/>
          <w:bCs/>
          <w:kern w:val="0"/>
          <w:sz w:val="21"/>
          <w:szCs w:val="21"/>
          <w:highlight w:val="none"/>
          <w:lang w:val="en-US" w:eastAsia="zh-CN"/>
        </w:rPr>
        <w:t>9</w:t>
      </w:r>
      <w:r>
        <w:rPr>
          <w:rFonts w:hint="default" w:ascii="Times New Roman" w:hAnsi="Times New Roman" w:eastAsia="宋体" w:cs="Times New Roman"/>
          <w:b/>
          <w:bCs/>
          <w:kern w:val="0"/>
          <w:sz w:val="21"/>
          <w:szCs w:val="21"/>
          <w:highlight w:val="none"/>
          <w:lang w:val="en-US" w:eastAsia="zh-CN"/>
        </w:rPr>
        <w:t>-3 临巴中桥跨越示意图</w:t>
      </w:r>
    </w:p>
    <w:p>
      <w:pPr>
        <w:pStyle w:val="16"/>
        <w:keepNext w:val="0"/>
        <w:keepLines w:val="0"/>
        <w:widowControl/>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4962525" cy="2105025"/>
            <wp:effectExtent l="0" t="0" r="9525" b="9525"/>
            <wp:docPr id="20" name="图片 20" descr="中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桥"/>
                    <pic:cNvPicPr>
                      <a:picLocks noChangeAspect="1"/>
                    </pic:cNvPicPr>
                  </pic:nvPicPr>
                  <pic:blipFill>
                    <a:blip r:embed="rId26"/>
                    <a:stretch>
                      <a:fillRect/>
                    </a:stretch>
                  </pic:blipFill>
                  <pic:spPr>
                    <a:xfrm>
                      <a:off x="0" y="0"/>
                      <a:ext cx="4962525" cy="2105025"/>
                    </a:xfrm>
                    <a:prstGeom prst="rect">
                      <a:avLst/>
                    </a:prstGeom>
                  </pic:spPr>
                </pic:pic>
              </a:graphicData>
            </a:graphic>
          </wp:inline>
        </w:drawing>
      </w:r>
    </w:p>
    <w:p>
      <w:pPr>
        <w:numPr>
          <w:ilvl w:val="0"/>
          <w:numId w:val="0"/>
        </w:numPr>
        <w:tabs>
          <w:tab w:val="left" w:pos="0"/>
        </w:tabs>
        <w:autoSpaceDE w:val="0"/>
        <w:autoSpaceDN w:val="0"/>
        <w:adjustRightInd w:val="0"/>
        <w:spacing w:line="360" w:lineRule="auto"/>
        <w:jc w:val="center"/>
        <w:outlineLvl w:val="9"/>
        <w:rPr>
          <w:rFonts w:hint="default" w:ascii="Times New Roman" w:hAnsi="Times New Roman" w:eastAsia="宋体" w:cs="Times New Roman"/>
          <w:b/>
          <w:bCs/>
          <w:kern w:val="0"/>
          <w:sz w:val="21"/>
          <w:szCs w:val="21"/>
          <w:highlight w:val="none"/>
          <w:lang w:val="en-US" w:eastAsia="zh-CN"/>
        </w:rPr>
      </w:pPr>
      <w:r>
        <w:rPr>
          <w:rFonts w:hint="default" w:ascii="Times New Roman" w:hAnsi="Times New Roman" w:eastAsia="宋体" w:cs="Times New Roman"/>
          <w:b/>
          <w:bCs/>
          <w:kern w:val="0"/>
          <w:sz w:val="21"/>
          <w:szCs w:val="21"/>
          <w:highlight w:val="none"/>
          <w:lang w:val="en-US" w:eastAsia="zh-CN"/>
        </w:rPr>
        <w:t>图2.</w:t>
      </w:r>
      <w:r>
        <w:rPr>
          <w:rFonts w:hint="eastAsia" w:ascii="Times New Roman" w:hAnsi="Times New Roman" w:cs="Times New Roman"/>
          <w:b/>
          <w:bCs/>
          <w:kern w:val="0"/>
          <w:sz w:val="21"/>
          <w:szCs w:val="21"/>
          <w:highlight w:val="none"/>
          <w:lang w:val="en-US" w:eastAsia="zh-CN"/>
        </w:rPr>
        <w:t>9</w:t>
      </w:r>
      <w:r>
        <w:rPr>
          <w:rFonts w:hint="default" w:ascii="Times New Roman" w:hAnsi="Times New Roman" w:eastAsia="宋体" w:cs="Times New Roman"/>
          <w:b/>
          <w:bCs/>
          <w:kern w:val="0"/>
          <w:sz w:val="21"/>
          <w:szCs w:val="21"/>
          <w:highlight w:val="none"/>
          <w:lang w:val="en-US" w:eastAsia="zh-CN"/>
        </w:rPr>
        <w:t>-4 四合大桥跨越示意图</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施工工序为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平整施工场地—基础施工—桥梁上部构造施工。</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桥梁上部结构施工</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本项目施工以预制安装为主，分别采用架桥机或大型吊车架设。</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桥梁下部结构施工：桥墩施工分为两个部分，首先进行桩基础施工，在桩基完成后才可进行墩身施工。桩基础由基桩和</w:t>
      </w:r>
      <w:r>
        <w:rPr>
          <w:rFonts w:hint="eastAsia" w:ascii="Times New Roman" w:hAnsi="Times New Roman" w:cs="Times New Roman"/>
          <w:b w:val="0"/>
          <w:bCs w:val="0"/>
          <w:sz w:val="24"/>
          <w:szCs w:val="24"/>
          <w:highlight w:val="none"/>
          <w:lang w:val="en-US" w:eastAsia="zh-CN" w:bidi="zh-CN"/>
        </w:rPr>
        <w:t>连接</w:t>
      </w:r>
      <w:r>
        <w:rPr>
          <w:rFonts w:hint="default" w:ascii="Times New Roman" w:hAnsi="Times New Roman" w:eastAsia="宋体" w:cs="Times New Roman"/>
          <w:b w:val="0"/>
          <w:bCs w:val="0"/>
          <w:sz w:val="24"/>
          <w:szCs w:val="24"/>
          <w:highlight w:val="none"/>
          <w:lang w:val="en-US" w:eastAsia="zh-CN" w:bidi="zh-CN"/>
        </w:rPr>
        <w:t>于桩顶的承台共同组成。本工程采用钻孔灌注桩，具有施工难度低，施工时间短等特点。钻孔灌注桩施工</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首先在施工场地上钻孔，钻孔完毕后进行清孔</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安装预制好的钢筋笼，钢筋笼安装完毕，进行二次清孔</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浇筑混凝土，完成基础施工</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承台施工</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用全站仪坐标放样法进行桩基础位置复测，保证桩位偏差在规范允许范围之内</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人工开挖基坑，用砂浆处理地表，保证地面承载力</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钢筋模板的预制和现场支立</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混凝土的浇筑与养护。</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桥台施工也包括两个部分，即桥台基础施工和台身</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台帽施工。桥台基础施工采用机械和人工相结合的形式，其施工顺序为：基坑开挖，控制边坡坡度以保持边坡稳定，并在基坑顶做成2%反坡防止雨水侵入；根据地质水文条件，对开挖边坡采取适当的支护措施；地基检验，人工清底；模板加工及安装，基础模板采用大块组合钢模板施工，减少接缝，保证模板及模板支撑应具有足够的刚度</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强度和稳定性</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混凝土浇筑及酒水养护；基坑回填，回填土应满足强度要求并进行夯实。</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6</w:t>
      </w:r>
      <w:r>
        <w:rPr>
          <w:rFonts w:hint="default" w:ascii="Times New Roman" w:hAnsi="Times New Roman" w:eastAsia="宋体"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交通安全设施</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w:t>
      </w:r>
      <w:r>
        <w:rPr>
          <w:rFonts w:hint="default" w:ascii="Times New Roman" w:hAnsi="Times New Roman" w:cs="Times New Roman"/>
          <w:b w:val="0"/>
          <w:bCs w:val="0"/>
          <w:sz w:val="24"/>
          <w:szCs w:val="24"/>
          <w:highlight w:val="none"/>
          <w:lang w:val="en-US" w:eastAsia="zh-CN" w:bidi="zh-CN"/>
        </w:rPr>
        <w:t>交通安全设施有标志</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标线</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护栏等，根据类似工程施工经验，该部分与路面同步施工，但护栏立柱需在路基施工过程中预留孔位。</w:t>
      </w:r>
    </w:p>
    <w:p>
      <w:pPr>
        <w:pStyle w:val="4"/>
        <w:bidi w:val="0"/>
        <w:rPr>
          <w:rFonts w:hint="default"/>
          <w:lang w:val="en-US" w:eastAsia="zh-CN"/>
        </w:rPr>
      </w:pPr>
      <w:bookmarkStart w:id="76" w:name="_Toc15361"/>
      <w:r>
        <w:rPr>
          <w:rFonts w:hint="default"/>
          <w:lang w:val="en-US" w:eastAsia="zh-CN"/>
        </w:rPr>
        <w:t>2.10.工期安排及投资估算</w:t>
      </w:r>
      <w:bookmarkEnd w:id="76"/>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本项目建设周期为202</w:t>
      </w:r>
      <w:r>
        <w:rPr>
          <w:rFonts w:hint="default" w:ascii="Times New Roman" w:hAnsi="Times New Roman" w:cs="Times New Roman"/>
          <w:b w:val="0"/>
          <w:bCs w:val="0"/>
          <w:sz w:val="24"/>
          <w:szCs w:val="24"/>
          <w:highlight w:val="none"/>
          <w:lang w:val="en-US" w:eastAsia="zh-CN" w:bidi="zh-CN"/>
        </w:rPr>
        <w:t>2</w:t>
      </w:r>
      <w:r>
        <w:rPr>
          <w:rFonts w:hint="default" w:ascii="Times New Roman" w:hAnsi="Times New Roman" w:eastAsia="宋体" w:cs="Times New Roman"/>
          <w:b w:val="0"/>
          <w:bCs w:val="0"/>
          <w:sz w:val="24"/>
          <w:szCs w:val="24"/>
          <w:highlight w:val="none"/>
          <w:lang w:val="en-US" w:eastAsia="zh-CN" w:bidi="zh-CN"/>
        </w:rPr>
        <w:t>年至202</w:t>
      </w:r>
      <w:r>
        <w:rPr>
          <w:rFonts w:hint="default" w:ascii="Times New Roman" w:hAnsi="Times New Roman" w:cs="Times New Roman"/>
          <w:b w:val="0"/>
          <w:bCs w:val="0"/>
          <w:sz w:val="24"/>
          <w:szCs w:val="24"/>
          <w:highlight w:val="none"/>
          <w:lang w:val="en-US" w:eastAsia="zh-CN" w:bidi="zh-CN"/>
        </w:rPr>
        <w:t>4</w:t>
      </w:r>
      <w:r>
        <w:rPr>
          <w:rFonts w:hint="default" w:ascii="Times New Roman" w:hAnsi="Times New Roman" w:eastAsia="宋体" w:cs="Times New Roman"/>
          <w:b w:val="0"/>
          <w:bCs w:val="0"/>
          <w:sz w:val="24"/>
          <w:szCs w:val="24"/>
          <w:highlight w:val="none"/>
          <w:lang w:val="en-US" w:eastAsia="zh-CN" w:bidi="zh-CN"/>
        </w:rPr>
        <w:t>年，共计13个月，施工准备1个月</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路基工程8个月</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桥涵工程8个月（与路基工程同步进行）</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路面工程1个月</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交安设施1个月</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绿化工程1个月。同时要求建设方严格控制施工时限，为避免扰民，施工时段控制在6:00-22:00</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本项目总投资估算约16740万元。</w:t>
      </w:r>
    </w:p>
    <w:p>
      <w:pPr>
        <w:pStyle w:val="4"/>
        <w:bidi w:val="0"/>
        <w:rPr>
          <w:rFonts w:hint="default"/>
          <w:lang w:val="en-US" w:eastAsia="zh-CN"/>
        </w:rPr>
      </w:pPr>
      <w:bookmarkStart w:id="77" w:name="_Toc31778"/>
      <w:r>
        <w:rPr>
          <w:rFonts w:hint="default"/>
          <w:lang w:val="en-US" w:eastAsia="zh-CN"/>
        </w:rPr>
        <w:t>2.11.路线比选</w:t>
      </w:r>
      <w:bookmarkEnd w:id="77"/>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根据建设单位提供资料（临巴镇绕场镇改线工程可行性研究报告），可研报告从洪水位影响</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地方政府对本项目规划</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经济技术指标</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占地等方面进行了不同深度的比选；可研报告结论：“对比来看，A线虽然在洪水位影响方面具备明显优势，但K线不占用基本农田保护区，符合地方政府对本项目的规划定位，技术指标较高，行车更为舒适，同时工程造价较低，综合以上因素，本报告推荐采用西线K线方案。</w:t>
      </w:r>
      <w:r>
        <w:rPr>
          <w:rFonts w:hint="eastAsia" w:ascii="Times New Roman" w:hAnsi="Times New Roman" w:cs="Times New Roman"/>
          <w:b w:val="0"/>
          <w:bCs w:val="0"/>
          <w:sz w:val="24"/>
          <w:szCs w:val="24"/>
          <w:highlight w:val="none"/>
          <w:lang w:val="en-US" w:eastAsia="zh-CN" w:bidi="zh-CN"/>
        </w:rPr>
        <w:t>”</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本次评价从项目对地表水体</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周围敏感点</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占地性质等方面对两种方案进行对比分析，详细见下表。</w:t>
      </w:r>
    </w:p>
    <w:p>
      <w:pPr>
        <w:adjustRightInd w:val="0"/>
        <w:snapToGrid w:val="0"/>
        <w:spacing w:line="240" w:lineRule="auto"/>
        <w:ind w:firstLine="422" w:firstLineChars="200"/>
        <w:jc w:val="center"/>
        <w:rPr>
          <w:rFonts w:hint="default" w:ascii="Times New Roman" w:hAnsi="Times New Roman" w:eastAsia="宋体" w:cs="Times New Roman"/>
          <w:b/>
          <w:bCs w:val="0"/>
          <w:sz w:val="21"/>
          <w:szCs w:val="21"/>
          <w:highlight w:val="none"/>
          <w:lang w:val="en-US" w:eastAsia="zh-CN"/>
        </w:rPr>
      </w:pPr>
      <w:r>
        <w:rPr>
          <w:rFonts w:hint="default" w:ascii="Times New Roman" w:hAnsi="Times New Roman" w:eastAsia="宋体" w:cs="Times New Roman"/>
          <w:b/>
          <w:bCs w:val="0"/>
          <w:sz w:val="21"/>
          <w:szCs w:val="21"/>
          <w:highlight w:val="none"/>
          <w:lang w:val="en-US" w:eastAsia="zh-CN"/>
        </w:rPr>
        <w:t>表</w:t>
      </w:r>
      <w:r>
        <w:rPr>
          <w:rFonts w:hint="default" w:ascii="Times New Roman" w:hAnsi="Times New Roman" w:cs="Times New Roman"/>
          <w:b/>
          <w:bCs w:val="0"/>
          <w:sz w:val="21"/>
          <w:szCs w:val="21"/>
          <w:highlight w:val="none"/>
          <w:lang w:val="en-US" w:eastAsia="zh-CN"/>
        </w:rPr>
        <w:t>2.10-1</w:t>
      </w:r>
      <w:r>
        <w:rPr>
          <w:rFonts w:hint="default" w:ascii="Times New Roman" w:hAnsi="Times New Roman" w:eastAsia="宋体" w:cs="Times New Roman"/>
          <w:b/>
          <w:bCs w:val="0"/>
          <w:sz w:val="21"/>
          <w:szCs w:val="21"/>
          <w:highlight w:val="none"/>
          <w:lang w:val="en-US" w:eastAsia="zh-CN"/>
        </w:rPr>
        <w:t xml:space="preserve"> 选址选线合理性分析一览表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04"/>
        <w:gridCol w:w="3437"/>
        <w:gridCol w:w="3524"/>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45" w:type="dxa"/>
            <w:vMerge w:val="restart"/>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序号</w:t>
            </w:r>
          </w:p>
        </w:tc>
        <w:tc>
          <w:tcPr>
            <w:tcW w:w="689" w:type="dxa"/>
            <w:vMerge w:val="restart"/>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环境制约因数</w:t>
            </w:r>
          </w:p>
        </w:tc>
        <w:tc>
          <w:tcPr>
            <w:tcW w:w="6103" w:type="dxa"/>
            <w:gridSpan w:val="2"/>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影响程度</w:t>
            </w:r>
          </w:p>
        </w:tc>
        <w:tc>
          <w:tcPr>
            <w:tcW w:w="919" w:type="dxa"/>
            <w:vMerge w:val="restart"/>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影响比较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45"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tc>
        <w:tc>
          <w:tcPr>
            <w:tcW w:w="689"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tc>
        <w:tc>
          <w:tcPr>
            <w:tcW w:w="3013"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A线</w:t>
            </w:r>
          </w:p>
        </w:tc>
        <w:tc>
          <w:tcPr>
            <w:tcW w:w="3090"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K线</w:t>
            </w:r>
          </w:p>
        </w:tc>
        <w:tc>
          <w:tcPr>
            <w:tcW w:w="919"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9" w:hRule="atLeast"/>
          <w:jc w:val="center"/>
        </w:trPr>
        <w:tc>
          <w:tcPr>
            <w:tcW w:w="345"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1</w:t>
            </w:r>
          </w:p>
        </w:tc>
        <w:tc>
          <w:tcPr>
            <w:tcW w:w="689" w:type="dxa"/>
            <w:noWrap w:val="0"/>
            <w:vAlign w:val="center"/>
          </w:tcPr>
          <w:p>
            <w:pPr>
              <w:adjustRightInd w:val="0"/>
              <w:snapToGrid w:val="0"/>
              <w:spacing w:line="240" w:lineRule="auto"/>
              <w:jc w:val="center"/>
              <w:rPr>
                <w:rFonts w:hint="default" w:ascii="Times New Roman" w:hAnsi="Times New Roman" w:eastAsia="宋体" w:cs="Times New Roman"/>
                <w:b w:val="0"/>
                <w:bCs/>
                <w:kern w:val="2"/>
                <w:sz w:val="21"/>
                <w:szCs w:val="21"/>
                <w:highlight w:val="none"/>
                <w:vertAlign w:val="baseline"/>
                <w:lang w:val="en-US" w:eastAsia="zh-CN" w:bidi="ar-SA"/>
              </w:rPr>
            </w:pPr>
            <w:r>
              <w:rPr>
                <w:rFonts w:hint="default" w:ascii="Times New Roman" w:hAnsi="Times New Roman" w:eastAsia="宋体" w:cs="Times New Roman"/>
                <w:b w:val="0"/>
                <w:bCs/>
                <w:sz w:val="21"/>
                <w:szCs w:val="21"/>
                <w:highlight w:val="none"/>
                <w:vertAlign w:val="baseline"/>
                <w:lang w:val="en-US" w:eastAsia="zh-CN"/>
              </w:rPr>
              <w:t>路线走向</w:t>
            </w:r>
          </w:p>
        </w:tc>
        <w:tc>
          <w:tcPr>
            <w:tcW w:w="3013"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起点位于临巴场镇北侧福善村北侧，路线向南沿山坡展线坡经朱家湾</w:t>
            </w:r>
            <w:r>
              <w:rPr>
                <w:rFonts w:hint="eastAsia" w:ascii="Times New Roman" w:hAnsi="Times New Roman" w:cs="Times New Roman"/>
                <w:b w:val="0"/>
                <w:bCs/>
                <w:sz w:val="21"/>
                <w:szCs w:val="21"/>
                <w:highlight w:val="none"/>
                <w:vertAlign w:val="baseline"/>
                <w:lang w:val="en-US" w:eastAsia="zh-CN"/>
              </w:rPr>
              <w:t>、</w:t>
            </w:r>
            <w:r>
              <w:rPr>
                <w:rFonts w:hint="default" w:ascii="Times New Roman" w:hAnsi="Times New Roman" w:eastAsia="宋体" w:cs="Times New Roman"/>
                <w:b w:val="0"/>
                <w:bCs/>
                <w:sz w:val="21"/>
                <w:szCs w:val="21"/>
                <w:highlight w:val="none"/>
                <w:vertAlign w:val="baseline"/>
                <w:lang w:val="en-US" w:eastAsia="zh-CN"/>
              </w:rPr>
              <w:t>廖家梁</w:t>
            </w:r>
            <w:r>
              <w:rPr>
                <w:rFonts w:hint="eastAsia" w:ascii="Times New Roman" w:hAnsi="Times New Roman" w:cs="Times New Roman"/>
                <w:b w:val="0"/>
                <w:bCs/>
                <w:sz w:val="21"/>
                <w:szCs w:val="21"/>
                <w:highlight w:val="none"/>
                <w:vertAlign w:val="baseline"/>
                <w:lang w:val="en-US" w:eastAsia="zh-CN"/>
              </w:rPr>
              <w:t>、</w:t>
            </w:r>
            <w:r>
              <w:rPr>
                <w:rFonts w:hint="default" w:ascii="Times New Roman" w:hAnsi="Times New Roman" w:eastAsia="宋体" w:cs="Times New Roman"/>
                <w:b w:val="0"/>
                <w:bCs/>
                <w:sz w:val="21"/>
                <w:szCs w:val="21"/>
                <w:highlight w:val="none"/>
                <w:vertAlign w:val="baseline"/>
                <w:lang w:val="en-US" w:eastAsia="zh-CN"/>
              </w:rPr>
              <w:t>肖家湾，至陈家湾设置10×20m四合大桥跨河沟至塘坊湾，此后路线沿50年一遇洪水位淹没区域以上高低布设线路再经袁家垭口</w:t>
            </w:r>
            <w:r>
              <w:rPr>
                <w:rFonts w:hint="eastAsia" w:ascii="Times New Roman" w:hAnsi="Times New Roman" w:cs="Times New Roman"/>
                <w:b w:val="0"/>
                <w:bCs/>
                <w:sz w:val="21"/>
                <w:szCs w:val="21"/>
                <w:highlight w:val="none"/>
                <w:vertAlign w:val="baseline"/>
                <w:lang w:val="en-US" w:eastAsia="zh-CN"/>
              </w:rPr>
              <w:t>、</w:t>
            </w:r>
            <w:r>
              <w:rPr>
                <w:rFonts w:hint="default" w:ascii="Times New Roman" w:hAnsi="Times New Roman" w:eastAsia="宋体" w:cs="Times New Roman"/>
                <w:b w:val="0"/>
                <w:bCs/>
                <w:sz w:val="21"/>
                <w:szCs w:val="21"/>
                <w:highlight w:val="none"/>
                <w:vertAlign w:val="baseline"/>
                <w:lang w:val="en-US" w:eastAsia="zh-CN"/>
              </w:rPr>
              <w:t>楚家湾</w:t>
            </w:r>
            <w:r>
              <w:rPr>
                <w:rFonts w:hint="eastAsia" w:ascii="Times New Roman" w:hAnsi="Times New Roman" w:cs="Times New Roman"/>
                <w:b w:val="0"/>
                <w:bCs/>
                <w:sz w:val="21"/>
                <w:szCs w:val="21"/>
                <w:highlight w:val="none"/>
                <w:vertAlign w:val="baseline"/>
                <w:lang w:val="en-US" w:eastAsia="zh-CN"/>
              </w:rPr>
              <w:t>、</w:t>
            </w:r>
            <w:r>
              <w:rPr>
                <w:rFonts w:hint="default" w:ascii="Times New Roman" w:hAnsi="Times New Roman" w:eastAsia="宋体" w:cs="Times New Roman"/>
                <w:b w:val="0"/>
                <w:bCs/>
                <w:sz w:val="21"/>
                <w:szCs w:val="21"/>
                <w:highlight w:val="none"/>
                <w:vertAlign w:val="baseline"/>
                <w:lang w:val="en-US" w:eastAsia="zh-CN"/>
              </w:rPr>
              <w:t>郑家湾，至王家湾设置 4×20m临巴中桥跨过龙嬉河谷至南侧与临巴镇幸福大道连接全长约4.075公里。</w:t>
            </w:r>
          </w:p>
        </w:tc>
        <w:tc>
          <w:tcPr>
            <w:tcW w:w="3090" w:type="dxa"/>
            <w:noWrap w:val="0"/>
            <w:vAlign w:val="center"/>
          </w:tcPr>
          <w:p>
            <w:pPr>
              <w:adjustRightInd w:val="0"/>
              <w:snapToGrid w:val="0"/>
              <w:spacing w:line="240" w:lineRule="auto"/>
              <w:jc w:val="left"/>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起点位于临巴场镇北侧福善村北侧，预留后段 S203 线临巴至东安段接线，</w:t>
            </w:r>
            <w:r>
              <w:rPr>
                <w:rFonts w:hint="eastAsia" w:ascii="Times New Roman" w:hAnsi="Times New Roman" w:cs="Times New Roman"/>
                <w:b w:val="0"/>
                <w:bCs/>
                <w:sz w:val="21"/>
                <w:szCs w:val="21"/>
                <w:highlight w:val="none"/>
                <w:vertAlign w:val="baseline"/>
                <w:lang w:val="en-US" w:eastAsia="zh-CN"/>
              </w:rPr>
              <w:t>沿线</w:t>
            </w:r>
            <w:r>
              <w:rPr>
                <w:rFonts w:hint="default" w:ascii="Times New Roman" w:hAnsi="Times New Roman" w:eastAsia="宋体" w:cs="Times New Roman"/>
                <w:b w:val="0"/>
                <w:bCs/>
                <w:sz w:val="21"/>
                <w:szCs w:val="21"/>
                <w:highlight w:val="none"/>
                <w:vertAlign w:val="baseline"/>
                <w:lang w:val="en-US" w:eastAsia="zh-CN"/>
              </w:rPr>
              <w:t>有临巴场镇东侧经西庵坝设置 5×20m 四合大桥跨过河流至东侧四合村，此后路线沿龙嬉河北侧河岸布设线路至竹林湾附近设置 4×20m 临巴中桥跨过龙嬉河至南侧与临巴镇幸福大道连接，全长 3.83 公里。</w:t>
            </w:r>
          </w:p>
        </w:tc>
        <w:tc>
          <w:tcPr>
            <w:tcW w:w="919" w:type="dxa"/>
            <w:noWrap w:val="0"/>
            <w:vAlign w:val="center"/>
          </w:tcPr>
          <w:p>
            <w:pPr>
              <w:adjustRightInd w:val="0"/>
              <w:snapToGrid w:val="0"/>
              <w:spacing w:line="240" w:lineRule="auto"/>
              <w:jc w:val="left"/>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45"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2</w:t>
            </w:r>
          </w:p>
        </w:tc>
        <w:tc>
          <w:tcPr>
            <w:tcW w:w="689"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地表水</w:t>
            </w:r>
          </w:p>
        </w:tc>
        <w:tc>
          <w:tcPr>
            <w:tcW w:w="3013"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跨河</w:t>
            </w:r>
            <w:r>
              <w:rPr>
                <w:rFonts w:hint="default" w:ascii="Times New Roman" w:hAnsi="Times New Roman" w:eastAsia="宋体" w:cs="Times New Roman"/>
                <w:b w:val="0"/>
                <w:bCs/>
                <w:sz w:val="21"/>
                <w:szCs w:val="21"/>
                <w:highlight w:val="none"/>
                <w:vertAlign w:val="baseline"/>
                <w:lang w:val="en-US" w:eastAsia="zh-CN"/>
              </w:rPr>
              <w:t>桥梁280m/2</w:t>
            </w:r>
          </w:p>
        </w:tc>
        <w:tc>
          <w:tcPr>
            <w:tcW w:w="3090"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跨河</w:t>
            </w:r>
            <w:r>
              <w:rPr>
                <w:rFonts w:hint="default" w:ascii="Times New Roman" w:hAnsi="Times New Roman" w:eastAsia="宋体" w:cs="Times New Roman"/>
                <w:b w:val="0"/>
                <w:bCs/>
                <w:sz w:val="21"/>
                <w:szCs w:val="21"/>
                <w:highlight w:val="none"/>
                <w:vertAlign w:val="baseline"/>
                <w:lang w:val="en-US" w:eastAsia="zh-CN"/>
              </w:rPr>
              <w:t>桥梁180m/2</w:t>
            </w:r>
          </w:p>
        </w:tc>
        <w:tc>
          <w:tcPr>
            <w:tcW w:w="919"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K线桥梁更短，施工</w:t>
            </w:r>
            <w:r>
              <w:rPr>
                <w:rFonts w:hint="default" w:ascii="Times New Roman" w:hAnsi="Times New Roman" w:cs="Times New Roman"/>
                <w:b w:val="0"/>
                <w:bCs/>
                <w:sz w:val="21"/>
                <w:szCs w:val="21"/>
                <w:highlight w:val="none"/>
                <w:vertAlign w:val="baseline"/>
                <w:lang w:val="en-US" w:eastAsia="zh-CN"/>
              </w:rPr>
              <w:t>影响</w:t>
            </w:r>
            <w:r>
              <w:rPr>
                <w:rFonts w:hint="default" w:ascii="Times New Roman" w:hAnsi="Times New Roman" w:eastAsia="宋体" w:cs="Times New Roman"/>
                <w:b w:val="0"/>
                <w:bCs/>
                <w:sz w:val="21"/>
                <w:szCs w:val="21"/>
                <w:highlight w:val="none"/>
                <w:vertAlign w:val="baseline"/>
                <w:lang w:val="en-US" w:eastAsia="zh-CN"/>
              </w:rPr>
              <w:t>相对较小，优势更大。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45"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3</w:t>
            </w:r>
          </w:p>
        </w:tc>
        <w:tc>
          <w:tcPr>
            <w:tcW w:w="689"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周围敏感点</w:t>
            </w:r>
          </w:p>
        </w:tc>
        <w:tc>
          <w:tcPr>
            <w:tcW w:w="3013"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居民约700人</w:t>
            </w:r>
          </w:p>
        </w:tc>
        <w:tc>
          <w:tcPr>
            <w:tcW w:w="3090"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居民约1200人</w:t>
            </w:r>
          </w:p>
        </w:tc>
        <w:tc>
          <w:tcPr>
            <w:tcW w:w="919"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A线周围敏感点人数少，影响较小。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45"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4</w:t>
            </w:r>
          </w:p>
        </w:tc>
        <w:tc>
          <w:tcPr>
            <w:tcW w:w="689"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工程占地</w:t>
            </w:r>
          </w:p>
        </w:tc>
        <w:tc>
          <w:tcPr>
            <w:tcW w:w="3013"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lang w:val="en-US" w:eastAsia="zh-CN"/>
              </w:rPr>
              <w:t>不涉及</w:t>
            </w:r>
            <w:r>
              <w:rPr>
                <w:rFonts w:hint="default" w:ascii="Times New Roman" w:hAnsi="Times New Roman" w:eastAsia="宋体" w:cs="Times New Roman"/>
                <w:b w:val="0"/>
                <w:bCs/>
                <w:sz w:val="21"/>
                <w:szCs w:val="21"/>
                <w:highlight w:val="none"/>
              </w:rPr>
              <w:t>自然保护区</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饮用水源保护区</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文物古迹</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风景名胜区</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世界文化和自然遗产地</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森林公园等环境敏感目标</w:t>
            </w:r>
            <w:r>
              <w:rPr>
                <w:rFonts w:hint="default" w:ascii="Times New Roman" w:hAnsi="Times New Roman" w:eastAsia="宋体" w:cs="Times New Roman"/>
                <w:b w:val="0"/>
                <w:bCs/>
                <w:sz w:val="21"/>
                <w:szCs w:val="21"/>
                <w:highlight w:val="none"/>
                <w:lang w:eastAsia="zh-CN"/>
              </w:rPr>
              <w:t>；</w:t>
            </w:r>
            <w:r>
              <w:rPr>
                <w:rFonts w:hint="default" w:ascii="Times New Roman" w:hAnsi="Times New Roman" w:eastAsia="宋体" w:cs="Times New Roman"/>
                <w:b w:val="0"/>
                <w:bCs/>
                <w:sz w:val="21"/>
                <w:szCs w:val="21"/>
                <w:highlight w:val="none"/>
                <w:vertAlign w:val="baseline"/>
                <w:lang w:val="en-US" w:eastAsia="zh-CN"/>
              </w:rPr>
              <w:t>占用耕地约 173.88 亩，沿线穿越基本农田较广</w:t>
            </w:r>
          </w:p>
        </w:tc>
        <w:tc>
          <w:tcPr>
            <w:tcW w:w="3090"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lang w:val="en-US" w:eastAsia="zh-CN"/>
              </w:rPr>
              <w:t>不涉及</w:t>
            </w:r>
            <w:r>
              <w:rPr>
                <w:rFonts w:hint="default" w:ascii="Times New Roman" w:hAnsi="Times New Roman" w:eastAsia="宋体" w:cs="Times New Roman"/>
                <w:b w:val="0"/>
                <w:bCs/>
                <w:sz w:val="21"/>
                <w:szCs w:val="21"/>
                <w:highlight w:val="none"/>
              </w:rPr>
              <w:t>自然保护区</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饮用水源保护区</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文物古迹</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风景名胜区</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世界文化和自然遗产地</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森林公园等环境敏感目标</w:t>
            </w:r>
            <w:r>
              <w:rPr>
                <w:rFonts w:hint="default" w:ascii="Times New Roman" w:hAnsi="Times New Roman" w:eastAsia="宋体" w:cs="Times New Roman"/>
                <w:b w:val="0"/>
                <w:bCs/>
                <w:sz w:val="21"/>
                <w:szCs w:val="21"/>
                <w:highlight w:val="none"/>
                <w:lang w:eastAsia="zh-CN"/>
              </w:rPr>
              <w:t>；</w:t>
            </w:r>
            <w:r>
              <w:rPr>
                <w:rFonts w:hint="default" w:ascii="Times New Roman" w:hAnsi="Times New Roman" w:eastAsia="宋体" w:cs="Times New Roman"/>
                <w:b w:val="0"/>
                <w:bCs/>
                <w:sz w:val="21"/>
                <w:szCs w:val="21"/>
                <w:highlight w:val="none"/>
                <w:vertAlign w:val="baseline"/>
                <w:lang w:val="en-US" w:eastAsia="zh-CN"/>
              </w:rPr>
              <w:t>占用耕地约 132.824 亩，对基本农田进行了避让，不涉及占用基本农田</w:t>
            </w:r>
          </w:p>
        </w:tc>
        <w:tc>
          <w:tcPr>
            <w:tcW w:w="919" w:type="dxa"/>
            <w:noWrap w:val="0"/>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K 线占地少，不涉及基本农田，优势较大</w:t>
            </w:r>
          </w:p>
        </w:tc>
      </w:tr>
    </w:tbl>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通过上表分析，K线不涉及占用基本农田。</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K线临时工程选址环境合理性分析</w:t>
      </w:r>
    </w:p>
    <w:p>
      <w:pPr>
        <w:pStyle w:val="4"/>
        <w:bidi w:val="0"/>
        <w:rPr>
          <w:rFonts w:hint="default"/>
          <w:lang w:val="en-US" w:eastAsia="zh-CN"/>
        </w:rPr>
      </w:pPr>
      <w:bookmarkStart w:id="78" w:name="_Toc6048"/>
      <w:r>
        <w:rPr>
          <w:rFonts w:hint="default"/>
          <w:lang w:val="en-US" w:eastAsia="zh-CN"/>
        </w:rPr>
        <w:t>2.12.临时工程选址环境合理性分析</w:t>
      </w:r>
      <w:bookmarkEnd w:id="78"/>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取土场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弃渣场选址合理性分析</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本项目全线全线合计挖方20.993万m3</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含表土4.7万m3</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，填方46.6184万m3</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含表土4.7万m3</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，借方28.6254万m3，弃方3万m3。本工程沿线共设置5处取土场，1处弃渣场，主要占地类型为荒地和耕地。</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项目所在地属于丘陵低山地貌，土石方调运难度大，沿线稍好处均已经开垦为耕地，故本项目取土场与弃渣场不可避免会占用耕地，本次环评要求建设单位在取土与弃渣作业完成后，对场地进行复耕，可将对农业生产的影响降至最低。</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经核实，本工程5处取土场，1处弃渣场均不涉及四川省生态保护红线</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饮用水源保护区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基本农田，不占压国家重点保护野生植物，不受不良地质影响。取土场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弃渣场周围有农户居住，施工中采用围挡作业及洒水降尘，可降低影响；并且取土场与临时堆场采取排水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截水等水土保持措施，可降低水土流失。</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综上，从环保的角度选址是合理的。</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施工场地选址合理性分析</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本工程在溪口村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和四合村附近各布设 1处施工场地，共2处施工场地，并作为桥梁施工工区，施工场地内布置骨料堆放场地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预制场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沉淀池等设施。桥梁预制场设置于临近桥头处，钢筋加工场和预制场合并设置。施工场地布置在新建道路范围内，不新增临时占地。</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施工场地不涉及四川省生态保护红线</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饮用水源保护区，不占压国家重点保护野生植物，不受不良地质影响。施工中采用围挡作业及洒水降尘，可降低环境影响；并采取排水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截水等水土保持措施，可降低水土流失。</w:t>
      </w:r>
    </w:p>
    <w:p>
      <w:pPr>
        <w:numPr>
          <w:ilvl w:val="0"/>
          <w:numId w:val="1"/>
        </w:num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施工便道选址环境合理性分析</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由于本工程</w:t>
      </w:r>
      <w:r>
        <w:rPr>
          <w:rFonts w:hint="default" w:ascii="Times New Roman" w:hAnsi="Times New Roman" w:cs="Times New Roman"/>
          <w:b w:val="0"/>
          <w:bCs w:val="0"/>
          <w:sz w:val="24"/>
          <w:szCs w:val="24"/>
          <w:highlight w:val="none"/>
          <w:lang w:val="en-US" w:eastAsia="zh-CN" w:bidi="zh-CN"/>
        </w:rPr>
        <w:t>取</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弃渣场和施工场地需占压耕地，故施工便道不可避免也将占压部分耕地。经核实，施工便道不涉及四川省生态保护红线</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饮用水源保护区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基本农田，不占压国家重点保护野生植物，不受不良地质影响。本次环评要求，在下阶段设计中注意避绕居民集中区，减小施工作业对沿线百姓的影响。</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综上所述，本工程施工便道便桥的选址从环境保护角度出发是合理的。</w:t>
      </w:r>
    </w:p>
    <w:p>
      <w:pPr>
        <w:pStyle w:val="4"/>
        <w:bidi w:val="0"/>
        <w:rPr>
          <w:rFonts w:hint="default"/>
          <w:lang w:val="en-US" w:eastAsia="zh-CN"/>
        </w:rPr>
      </w:pPr>
      <w:bookmarkStart w:id="79" w:name="_Toc26096"/>
      <w:r>
        <w:rPr>
          <w:rFonts w:hint="default"/>
          <w:lang w:val="en-US" w:eastAsia="zh-CN"/>
        </w:rPr>
        <w:t>2.13.环境影响因素及污染源强分析</w:t>
      </w:r>
      <w:bookmarkEnd w:id="79"/>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2.13.1.环境影响因素分析</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根据本项目特点和沿线环境状况</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针对环境保护目标，给出工程组成及主要环境影响，见表2.13-1。按照环评规范的要求，对相关环境影响要素进行筛选。</w:t>
      </w:r>
    </w:p>
    <w:p>
      <w:pPr>
        <w:numPr>
          <w:ilvl w:val="0"/>
          <w:numId w:val="0"/>
        </w:numPr>
        <w:tabs>
          <w:tab w:val="left" w:pos="0"/>
        </w:tabs>
        <w:autoSpaceDE w:val="0"/>
        <w:autoSpaceDN w:val="0"/>
        <w:adjustRightInd w:val="0"/>
        <w:ind w:right="0" w:rightChars="0"/>
        <w:jc w:val="center"/>
        <w:rPr>
          <w:rFonts w:hint="default" w:ascii="Times New Roman" w:hAnsi="Times New Roman" w:eastAsia="宋体" w:cs="Times New Roman"/>
          <w:b/>
          <w:bCs/>
          <w:kern w:val="0"/>
          <w:sz w:val="21"/>
          <w:szCs w:val="21"/>
          <w:highlight w:val="none"/>
        </w:rPr>
      </w:pPr>
      <w:r>
        <w:rPr>
          <w:rFonts w:hint="default" w:ascii="Times New Roman" w:hAnsi="Times New Roman" w:cs="Times New Roman"/>
          <w:b/>
          <w:bCs/>
          <w:kern w:val="0"/>
          <w:sz w:val="21"/>
          <w:szCs w:val="21"/>
          <w:highlight w:val="none"/>
          <w:lang w:val="en-US" w:eastAsia="zh-CN"/>
        </w:rPr>
        <w:t>表2.13-1</w:t>
      </w:r>
      <w:r>
        <w:rPr>
          <w:rFonts w:hint="default" w:ascii="Times New Roman" w:hAnsi="Times New Roman" w:eastAsia="宋体" w:cs="Times New Roman"/>
          <w:b/>
          <w:bCs/>
          <w:kern w:val="0"/>
          <w:sz w:val="21"/>
          <w:szCs w:val="21"/>
          <w:highlight w:val="none"/>
        </w:rPr>
        <w:t>本工程项目组成表及主要环境问题</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482"/>
        <w:gridCol w:w="451"/>
        <w:gridCol w:w="705"/>
        <w:gridCol w:w="5818"/>
        <w:gridCol w:w="873"/>
        <w:gridCol w:w="7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1475" w:type="dxa"/>
            <w:gridSpan w:val="3"/>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项目组成</w:t>
            </w:r>
          </w:p>
        </w:tc>
        <w:tc>
          <w:tcPr>
            <w:tcW w:w="5284"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rPr>
              <w:t>建设内容</w:t>
            </w:r>
            <w:r>
              <w:rPr>
                <w:rFonts w:hint="default" w:ascii="Times New Roman" w:hAnsi="Times New Roman" w:eastAsia="宋体" w:cs="Times New Roman"/>
                <w:b w:val="0"/>
                <w:bCs w:val="0"/>
                <w:sz w:val="21"/>
                <w:szCs w:val="21"/>
                <w:highlight w:val="none"/>
                <w:lang w:val="en-US" w:eastAsia="zh-CN"/>
              </w:rPr>
              <w:t>及规模</w:t>
            </w:r>
          </w:p>
        </w:tc>
        <w:tc>
          <w:tcPr>
            <w:tcW w:w="1475"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主要环境问题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1475" w:type="dxa"/>
            <w:gridSpan w:val="3"/>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5284"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78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施工期</w:t>
            </w: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运行期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主体工程</w:t>
            </w:r>
          </w:p>
        </w:tc>
        <w:tc>
          <w:tcPr>
            <w:tcW w:w="405" w:type="dxa"/>
            <w:vMerge w:val="restart"/>
            <w:tcBorders>
              <w:tl2br w:val="nil"/>
              <w:tr2bl w:val="nil"/>
            </w:tcBorders>
            <w:noWrap w:val="0"/>
            <w:vAlign w:val="center"/>
          </w:tcPr>
          <w:p>
            <w:pPr>
              <w:pStyle w:val="12"/>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新</w:t>
            </w:r>
          </w:p>
          <w:p>
            <w:pPr>
              <w:pStyle w:val="12"/>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建</w:t>
            </w:r>
          </w:p>
          <w:p>
            <w:pPr>
              <w:pStyle w:val="12"/>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道</w:t>
            </w:r>
          </w:p>
          <w:p>
            <w:pPr>
              <w:pStyle w:val="12"/>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路</w:t>
            </w:r>
          </w:p>
        </w:tc>
        <w:tc>
          <w:tcPr>
            <w:tcW w:w="637" w:type="dxa"/>
            <w:tcBorders>
              <w:tl2br w:val="nil"/>
              <w:tr2bl w:val="nil"/>
            </w:tcBorders>
            <w:noWrap w:val="0"/>
            <w:vAlign w:val="center"/>
          </w:tcPr>
          <w:p>
            <w:pPr>
              <w:pStyle w:val="12"/>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路线</w:t>
            </w:r>
          </w:p>
          <w:p>
            <w:pPr>
              <w:pStyle w:val="12"/>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工程</w:t>
            </w:r>
          </w:p>
        </w:tc>
        <w:tc>
          <w:tcPr>
            <w:tcW w:w="5284" w:type="dxa"/>
            <w:tcBorders>
              <w:tl2br w:val="nil"/>
              <w:tr2bl w:val="nil"/>
            </w:tcBorders>
            <w:noWrap w:val="0"/>
            <w:vAlign w:val="center"/>
          </w:tcPr>
          <w:p>
            <w:pPr>
              <w:adjustRightInd w:val="0"/>
              <w:snapToGrid w:val="0"/>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b w:val="0"/>
                <w:bCs w:val="0"/>
                <w:sz w:val="21"/>
                <w:szCs w:val="21"/>
                <w:highlight w:val="none"/>
                <w:lang w:val="en-US" w:eastAsia="zh-CN"/>
              </w:rPr>
              <w:t>二级公路；</w:t>
            </w:r>
            <w:r>
              <w:rPr>
                <w:rFonts w:hint="default" w:ascii="Times New Roman" w:hAnsi="Times New Roman" w:eastAsia="宋体" w:cs="Times New Roman"/>
                <w:b w:val="0"/>
                <w:bCs w:val="0"/>
                <w:sz w:val="21"/>
                <w:szCs w:val="21"/>
                <w:highlight w:val="none"/>
                <w:lang w:eastAsia="zh-CN"/>
              </w:rPr>
              <w:t>起于</w:t>
            </w:r>
            <w:r>
              <w:rPr>
                <w:rFonts w:hint="default" w:ascii="Times New Roman" w:hAnsi="Times New Roman" w:eastAsia="宋体" w:cs="Times New Roman"/>
                <w:b w:val="0"/>
                <w:bCs w:val="0"/>
                <w:kern w:val="2"/>
                <w:sz w:val="21"/>
                <w:szCs w:val="21"/>
                <w:highlight w:val="none"/>
                <w:lang w:val="en-US" w:eastAsia="zh-CN"/>
              </w:rPr>
              <w:t>临巴镇北侧福善村北侧</w:t>
            </w:r>
            <w:r>
              <w:rPr>
                <w:rFonts w:hint="default" w:ascii="Times New Roman" w:hAnsi="Times New Roman" w:eastAsia="宋体"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lang w:val="en-US" w:eastAsia="zh-CN"/>
              </w:rPr>
              <w:t>K0+000</w:t>
            </w:r>
            <w:r>
              <w:rPr>
                <w:rFonts w:hint="default" w:ascii="Times New Roman" w:hAnsi="Times New Roman" w:eastAsia="宋体" w:cs="Times New Roman"/>
                <w:b w:val="0"/>
                <w:bCs w:val="0"/>
                <w:sz w:val="21"/>
                <w:szCs w:val="21"/>
                <w:highlight w:val="none"/>
                <w:lang w:eastAsia="zh-CN"/>
              </w:rPr>
              <w:t>），止于</w:t>
            </w:r>
            <w:r>
              <w:rPr>
                <w:rFonts w:hint="default" w:ascii="Times New Roman" w:hAnsi="Times New Roman" w:eastAsia="宋体" w:cs="Times New Roman"/>
                <w:b w:val="0"/>
                <w:bCs w:val="0"/>
                <w:kern w:val="2"/>
                <w:sz w:val="21"/>
                <w:szCs w:val="21"/>
                <w:highlight w:val="none"/>
                <w:lang w:val="en-US" w:eastAsia="zh-CN"/>
              </w:rPr>
              <w:t>临巴镇幸福大道</w:t>
            </w:r>
            <w:r>
              <w:rPr>
                <w:rFonts w:hint="default" w:ascii="Times New Roman" w:hAnsi="Times New Roman" w:eastAsia="宋体"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lang w:val="en-US" w:eastAsia="zh-CN"/>
              </w:rPr>
              <w:t>K3+830</w:t>
            </w:r>
            <w:r>
              <w:rPr>
                <w:rFonts w:hint="default" w:ascii="Times New Roman" w:hAnsi="Times New Roman" w:eastAsia="宋体" w:cs="Times New Roman"/>
                <w:b w:val="0"/>
                <w:bCs w:val="0"/>
                <w:sz w:val="21"/>
                <w:szCs w:val="21"/>
                <w:highlight w:val="none"/>
                <w:lang w:eastAsia="zh-CN"/>
              </w:rPr>
              <w:t>），路线全长</w:t>
            </w:r>
            <w:r>
              <w:rPr>
                <w:rFonts w:hint="default" w:ascii="Times New Roman" w:hAnsi="Times New Roman" w:eastAsia="宋体" w:cs="Times New Roman"/>
                <w:b w:val="0"/>
                <w:bCs w:val="0"/>
                <w:sz w:val="21"/>
                <w:szCs w:val="21"/>
                <w:highlight w:val="none"/>
                <w:lang w:val="en-US" w:eastAsia="zh-CN"/>
              </w:rPr>
              <w:t>3830m。</w:t>
            </w:r>
          </w:p>
        </w:tc>
        <w:tc>
          <w:tcPr>
            <w:tcW w:w="78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施工废水</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施工废气</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施工固废</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施工噪声</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生活垃圾和生活污水</w:t>
            </w:r>
          </w:p>
        </w:tc>
        <w:tc>
          <w:tcPr>
            <w:tcW w:w="687"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rPr>
              <w:t>交通噪声</w:t>
            </w:r>
            <w:r>
              <w:rPr>
                <w:rFonts w:hint="eastAsia" w:ascii="Times New Roman" w:hAnsi="Times New Roman" w:cs="Times New Roman"/>
                <w:b w:val="0"/>
                <w:bCs w:val="0"/>
                <w:sz w:val="21"/>
                <w:szCs w:val="21"/>
                <w:highlight w:val="none"/>
                <w:lang w:eastAsia="zh-CN"/>
              </w:rPr>
              <w:t>、</w:t>
            </w:r>
          </w:p>
          <w:p>
            <w:pPr>
              <w:adjustRightInd w:val="0"/>
              <w:snapToGrid w:val="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rPr>
              <w:t>汽车尾气</w:t>
            </w:r>
            <w:r>
              <w:rPr>
                <w:rFonts w:hint="eastAsia" w:ascii="Times New Roman" w:hAnsi="Times New Roman" w:cs="Times New Roman"/>
                <w:b w:val="0"/>
                <w:bCs w:val="0"/>
                <w:sz w:val="21"/>
                <w:szCs w:val="21"/>
                <w:highlight w:val="none"/>
                <w:lang w:eastAsia="zh-CN"/>
              </w:rPr>
              <w:t>、</w:t>
            </w:r>
          </w:p>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路面径流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405" w:type="dxa"/>
            <w:vMerge w:val="continue"/>
            <w:tcBorders>
              <w:tl2br w:val="nil"/>
              <w:tr2bl w:val="nil"/>
            </w:tcBorders>
            <w:noWrap w:val="0"/>
            <w:vAlign w:val="center"/>
          </w:tcPr>
          <w:p>
            <w:pPr>
              <w:pStyle w:val="12"/>
              <w:adjustRightInd w:val="0"/>
              <w:snapToGrid w:val="0"/>
              <w:jc w:val="center"/>
              <w:rPr>
                <w:rFonts w:hint="default" w:ascii="Times New Roman" w:hAnsi="Times New Roman" w:eastAsia="宋体" w:cs="Times New Roman"/>
                <w:b w:val="0"/>
                <w:bCs w:val="0"/>
                <w:sz w:val="21"/>
                <w:szCs w:val="21"/>
                <w:highlight w:val="none"/>
              </w:rPr>
            </w:pPr>
          </w:p>
        </w:tc>
        <w:tc>
          <w:tcPr>
            <w:tcW w:w="637" w:type="dxa"/>
            <w:tcBorders>
              <w:tl2br w:val="nil"/>
              <w:tr2bl w:val="nil"/>
            </w:tcBorders>
            <w:noWrap w:val="0"/>
            <w:vAlign w:val="center"/>
          </w:tcPr>
          <w:p>
            <w:pPr>
              <w:pStyle w:val="12"/>
              <w:adjustRightInd w:val="0"/>
              <w:snapToGrid w:val="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路基</w:t>
            </w:r>
          </w:p>
          <w:p>
            <w:pPr>
              <w:pStyle w:val="12"/>
              <w:adjustRightInd w:val="0"/>
              <w:snapToGrid w:val="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工程</w:t>
            </w:r>
          </w:p>
        </w:tc>
        <w:tc>
          <w:tcPr>
            <w:tcW w:w="5284" w:type="dxa"/>
            <w:tcBorders>
              <w:tl2br w:val="nil"/>
              <w:tr2bl w:val="nil"/>
            </w:tcBorders>
            <w:noWrap w:val="0"/>
            <w:vAlign w:val="center"/>
          </w:tcPr>
          <w:p>
            <w:pPr>
              <w:adjustRightInd w:val="0"/>
              <w:snapToGrid w:val="0"/>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路基宽度12m；0.5m土路肩+2m硬路肩+2×3.5m行车道+2m硬路肩+0.5m土路肩=12m。</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40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3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路面</w:t>
            </w:r>
          </w:p>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工程</w:t>
            </w:r>
          </w:p>
        </w:tc>
        <w:tc>
          <w:tcPr>
            <w:tcW w:w="5284" w:type="dxa"/>
            <w:tcBorders>
              <w:tl2br w:val="nil"/>
              <w:tr2bl w:val="nil"/>
            </w:tcBorders>
            <w:noWrap w:val="0"/>
            <w:vAlign w:val="center"/>
          </w:tcPr>
          <w:p>
            <w:pPr>
              <w:adjustRightInd w:val="0"/>
              <w:snapToGrid w:val="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沥青混凝土路面设计使用年限为12年；</w:t>
            </w:r>
          </w:p>
          <w:p>
            <w:pPr>
              <w:adjustRightInd w:val="0"/>
              <w:snapToGrid w:val="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一般路段：4cm厚细粒式SBS改性沥青混凝土AC-13C上面层+6cm 厚中粒式沥青混凝土AC-20C下面层+40cm厚水泥稳定碎石基层+15cm 厚级配碎石垫层（岩基取消该层）。</w:t>
            </w:r>
          </w:p>
          <w:p>
            <w:pPr>
              <w:adjustRightInd w:val="0"/>
              <w:snapToGrid w:val="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桥梁路段：4cm厚细粒式SBS改性沥青混凝土AC-13C上面层+6cm 厚中粒式沥青混凝土AC-20C下面层+混凝土铺装层。</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26"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val="en-US" w:eastAsia="zh-CN"/>
              </w:rPr>
              <w:t>桥梁</w:t>
            </w:r>
            <w:r>
              <w:rPr>
                <w:rFonts w:hint="default" w:ascii="Times New Roman" w:hAnsi="Times New Roman" w:eastAsia="宋体" w:cs="Times New Roman"/>
                <w:b w:val="0"/>
                <w:bCs w:val="0"/>
                <w:sz w:val="21"/>
                <w:szCs w:val="21"/>
                <w:highlight w:val="none"/>
                <w:lang w:eastAsia="zh-CN"/>
              </w:rPr>
              <w:t>工程</w:t>
            </w:r>
          </w:p>
        </w:tc>
        <w:tc>
          <w:tcPr>
            <w:tcW w:w="5284" w:type="dxa"/>
            <w:tcBorders>
              <w:tl2br w:val="nil"/>
              <w:tr2bl w:val="nil"/>
            </w:tcBorders>
            <w:noWrap w:val="0"/>
            <w:vAlign w:val="center"/>
          </w:tcPr>
          <w:p>
            <w:pPr>
              <w:adjustRightInd w:val="0"/>
              <w:snapToGrid w:val="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拟建</w:t>
            </w:r>
            <w:r>
              <w:rPr>
                <w:rFonts w:hint="default" w:ascii="Times New Roman" w:hAnsi="Times New Roman" w:eastAsia="宋体" w:cs="Times New Roman"/>
                <w:b w:val="0"/>
                <w:bCs w:val="0"/>
                <w:sz w:val="21"/>
                <w:szCs w:val="21"/>
                <w:highlight w:val="none"/>
                <w:lang w:val="en-US" w:eastAsia="zh-CN"/>
              </w:rPr>
              <w:t>桥梁宽度：桥梁均采用整幅设置，标准断面组成为：</w:t>
            </w:r>
          </w:p>
          <w:p>
            <w:pPr>
              <w:adjustRightInd w:val="0"/>
              <w:snapToGrid w:val="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四合大桥2.0m人行道+8.0m车行道+2.5m人行道=12.0m，</w:t>
            </w:r>
            <w:r>
              <w:rPr>
                <w:rFonts w:hint="default" w:ascii="Times New Roman" w:hAnsi="Times New Roman" w:cs="Times New Roman"/>
                <w:b w:val="0"/>
                <w:bCs w:val="0"/>
                <w:sz w:val="21"/>
                <w:szCs w:val="21"/>
                <w:highlight w:val="none"/>
                <w:lang w:val="en-US" w:eastAsia="zh-CN"/>
              </w:rPr>
              <w:t>长度108m，</w:t>
            </w:r>
            <w:r>
              <w:rPr>
                <w:rFonts w:hint="default" w:ascii="Times New Roman" w:hAnsi="Times New Roman" w:eastAsia="宋体" w:cs="Times New Roman"/>
                <w:b w:val="0"/>
                <w:bCs w:val="0"/>
                <w:sz w:val="21"/>
                <w:szCs w:val="21"/>
                <w:highlight w:val="none"/>
                <w:lang w:val="en-US" w:eastAsia="zh-CN"/>
              </w:rPr>
              <w:t>路桥同宽；</w:t>
            </w:r>
          </w:p>
          <w:p>
            <w:pPr>
              <w:adjustRightInd w:val="0"/>
              <w:snapToGrid w:val="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临巴中桥2.0m人行道+15.0m车行道+2.0m人行道=19.0m，</w:t>
            </w:r>
            <w:r>
              <w:rPr>
                <w:rFonts w:hint="default" w:ascii="Times New Roman" w:hAnsi="Times New Roman" w:cs="Times New Roman"/>
                <w:b w:val="0"/>
                <w:bCs w:val="0"/>
                <w:sz w:val="21"/>
                <w:szCs w:val="21"/>
                <w:highlight w:val="none"/>
                <w:lang w:val="en-US" w:eastAsia="zh-CN"/>
              </w:rPr>
              <w:t>长度88m，</w:t>
            </w:r>
            <w:r>
              <w:rPr>
                <w:rFonts w:hint="default" w:ascii="Times New Roman" w:hAnsi="Times New Roman" w:eastAsia="宋体" w:cs="Times New Roman"/>
                <w:b w:val="0"/>
                <w:bCs w:val="0"/>
                <w:sz w:val="21"/>
                <w:szCs w:val="21"/>
                <w:highlight w:val="none"/>
                <w:lang w:val="en-US" w:eastAsia="zh-CN"/>
              </w:rPr>
              <w:t>路桥同宽。</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26" w:hRule="atLeast"/>
          <w:jc w:val="center"/>
        </w:trPr>
        <w:tc>
          <w:tcPr>
            <w:tcW w:w="433" w:type="dxa"/>
            <w:vMerge w:val="continue"/>
            <w:tcBorders>
              <w:tl2br w:val="nil"/>
              <w:tr2bl w:val="nil"/>
            </w:tcBorders>
            <w:noWrap w:val="0"/>
            <w:vAlign w:val="center"/>
          </w:tcPr>
          <w:p>
            <w:pPr>
              <w:adjustRightInd w:val="0"/>
              <w:snapToGrid w:val="0"/>
              <w:rPr>
                <w:rFonts w:hint="default" w:ascii="Times New Roman" w:hAnsi="Times New Roman" w:cs="Times New Roman"/>
                <w:b w:val="0"/>
                <w:bCs w:val="0"/>
                <w:sz w:val="21"/>
                <w:szCs w:val="21"/>
              </w:rPr>
            </w:pPr>
          </w:p>
        </w:tc>
        <w:tc>
          <w:tcPr>
            <w:tcW w:w="1042" w:type="dxa"/>
            <w:gridSpan w:val="2"/>
            <w:tcBorders>
              <w:tl2br w:val="nil"/>
              <w:tr2bl w:val="nil"/>
            </w:tcBorders>
            <w:noWrap w:val="0"/>
            <w:vAlign w:val="center"/>
          </w:tcPr>
          <w:p>
            <w:pPr>
              <w:adjustRightInd w:val="0"/>
              <w:snapToGrid w:val="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涵洞工程</w:t>
            </w:r>
          </w:p>
        </w:tc>
        <w:tc>
          <w:tcPr>
            <w:tcW w:w="5284" w:type="dxa"/>
            <w:tcBorders>
              <w:tl2br w:val="nil"/>
              <w:tr2bl w:val="nil"/>
            </w:tcBorders>
            <w:noWrap w:val="0"/>
            <w:vAlign w:val="center"/>
          </w:tcPr>
          <w:p>
            <w:pPr>
              <w:adjustRightInd w:val="0"/>
              <w:snapToGrid w:val="0"/>
              <w:rPr>
                <w:rFonts w:hint="default" w:ascii="Times New Roman" w:hAnsi="Times New Roman" w:eastAsia="宋体" w:cs="Times New Roman"/>
                <w:b w:val="0"/>
                <w:bCs w:val="0"/>
                <w:sz w:val="21"/>
                <w:szCs w:val="21"/>
                <w:highlight w:val="none"/>
                <w:lang w:eastAsia="zh-CN"/>
              </w:rPr>
            </w:pPr>
            <w:r>
              <w:rPr>
                <w:rFonts w:hint="default" w:ascii="Times New Roman" w:hAnsi="Times New Roman" w:cs="Times New Roman"/>
                <w:b w:val="0"/>
                <w:bCs w:val="0"/>
                <w:sz w:val="21"/>
                <w:szCs w:val="21"/>
                <w:highlight w:val="none"/>
                <w:lang w:val="en-US" w:eastAsia="zh-CN"/>
              </w:rPr>
              <w:t>拟建</w:t>
            </w:r>
            <w:r>
              <w:rPr>
                <w:rFonts w:hint="default" w:ascii="Times New Roman" w:hAnsi="Times New Roman" w:eastAsia="宋体" w:cs="Times New Roman"/>
                <w:b w:val="0"/>
                <w:bCs w:val="0"/>
                <w:sz w:val="21"/>
                <w:szCs w:val="21"/>
                <w:highlight w:val="none"/>
                <w:lang w:eastAsia="zh-CN"/>
              </w:rPr>
              <w:t>圆管涵和盖板涵共12道，其中圆管涵5道，总长150m；盖板涵3道，总长112m；通道4道，总长136m。</w:t>
            </w:r>
          </w:p>
        </w:tc>
        <w:tc>
          <w:tcPr>
            <w:tcW w:w="788" w:type="dxa"/>
            <w:vMerge w:val="continue"/>
            <w:tcBorders>
              <w:tl2br w:val="nil"/>
              <w:tr2bl w:val="nil"/>
            </w:tcBorders>
            <w:noWrap w:val="0"/>
            <w:vAlign w:val="center"/>
          </w:tcPr>
          <w:p>
            <w:pPr>
              <w:adjustRightInd w:val="0"/>
              <w:snapToGrid w:val="0"/>
              <w:rPr>
                <w:rFonts w:hint="default" w:ascii="Times New Roman" w:hAnsi="Times New Roman" w:eastAsia="宋体" w:cs="Times New Roman"/>
                <w:b w:val="0"/>
                <w:bCs w:val="0"/>
                <w:sz w:val="21"/>
                <w:szCs w:val="21"/>
                <w:highlight w:val="none"/>
                <w:lang w:eastAsia="zh-CN"/>
              </w:rPr>
            </w:pPr>
          </w:p>
        </w:tc>
        <w:tc>
          <w:tcPr>
            <w:tcW w:w="687" w:type="dxa"/>
            <w:vMerge w:val="continue"/>
            <w:tcBorders>
              <w:tl2br w:val="nil"/>
              <w:tr2bl w:val="nil"/>
            </w:tcBorders>
            <w:noWrap w:val="0"/>
            <w:vAlign w:val="center"/>
          </w:tcPr>
          <w:p>
            <w:pPr>
              <w:adjustRightInd w:val="0"/>
              <w:snapToGrid w:val="0"/>
              <w:rPr>
                <w:rFonts w:hint="default" w:ascii="Times New Roman" w:hAnsi="Times New Roman" w:eastAsia="宋体" w:cs="Times New Roman"/>
                <w:b w:val="0"/>
                <w:bCs w:val="0"/>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交叉工程</w:t>
            </w:r>
          </w:p>
        </w:tc>
        <w:tc>
          <w:tcPr>
            <w:tcW w:w="5284" w:type="dxa"/>
            <w:tcBorders>
              <w:tl2br w:val="nil"/>
              <w:tr2bl w:val="nil"/>
            </w:tcBorders>
            <w:noWrap w:val="0"/>
            <w:vAlign w:val="center"/>
          </w:tcPr>
          <w:p>
            <w:pPr>
              <w:adjustRightInd w:val="0"/>
              <w:snapToGrid w:val="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全线共设置平交口7处。</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eastAsia="zh-CN"/>
              </w:rPr>
              <w:t>排水工程</w:t>
            </w:r>
          </w:p>
        </w:tc>
        <w:tc>
          <w:tcPr>
            <w:tcW w:w="5284" w:type="dxa"/>
            <w:tcBorders>
              <w:tl2br w:val="nil"/>
              <w:tr2bl w:val="nil"/>
            </w:tcBorders>
            <w:noWrap w:val="0"/>
            <w:vAlign w:val="center"/>
          </w:tcPr>
          <w:p>
            <w:pPr>
              <w:adjustRightInd w:val="0"/>
              <w:snapToGrid w:val="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拟建</w:t>
            </w:r>
            <w:r>
              <w:rPr>
                <w:rFonts w:hint="default" w:ascii="Times New Roman" w:hAnsi="Times New Roman" w:eastAsia="宋体" w:cs="Times New Roman"/>
                <w:b w:val="0"/>
                <w:bCs w:val="0"/>
                <w:sz w:val="21"/>
                <w:szCs w:val="21"/>
                <w:highlight w:val="none"/>
                <w:lang w:val="en-US" w:eastAsia="zh-CN"/>
              </w:rPr>
              <w:t>0.5~0.6m边沟，边沟纵坡一般不小于 0.3%并全部浆砌。</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cantSplit/>
          <w:trHeight w:val="0" w:hRule="atLeast"/>
          <w:jc w:val="center"/>
        </w:trPr>
        <w:tc>
          <w:tcPr>
            <w:tcW w:w="43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附属工程</w:t>
            </w:r>
          </w:p>
          <w:p>
            <w:pPr>
              <w:pStyle w:val="27"/>
              <w:adjustRightInd w:val="0"/>
              <w:snapToGrid w:val="0"/>
              <w:spacing w:line="240" w:lineRule="auto"/>
              <w:ind w:left="0" w:leftChars="0" w:right="0" w:rightChars="0" w:firstLine="0"/>
              <w:jc w:val="center"/>
              <w:rPr>
                <w:rFonts w:hint="default" w:ascii="Times New Roman" w:hAnsi="Times New Roman" w:eastAsia="宋体" w:cs="Times New Roman"/>
                <w:b w:val="0"/>
                <w:bCs w:val="0"/>
                <w:sz w:val="21"/>
                <w:szCs w:val="21"/>
                <w:highlight w:val="none"/>
                <w:lang w:eastAsia="zh-CN"/>
              </w:rPr>
            </w:pPr>
          </w:p>
        </w:tc>
        <w:tc>
          <w:tcPr>
            <w:tcW w:w="1042" w:type="dxa"/>
            <w:gridSpan w:val="2"/>
            <w:vMerge w:val="restart"/>
            <w:tcBorders>
              <w:tl2br w:val="nil"/>
              <w:tr2bl w:val="nil"/>
            </w:tcBorders>
            <w:noWrap w:val="0"/>
            <w:vAlign w:val="center"/>
          </w:tcPr>
          <w:p>
            <w:pP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交通设施</w:t>
            </w:r>
          </w:p>
        </w:tc>
        <w:tc>
          <w:tcPr>
            <w:tcW w:w="5284" w:type="dxa"/>
            <w:vMerge w:val="restart"/>
            <w:tcBorders>
              <w:tl2br w:val="nil"/>
              <w:tr2bl w:val="nil"/>
            </w:tcBorders>
            <w:noWrap w:val="0"/>
            <w:vAlign w:val="center"/>
          </w:tcPr>
          <w:p>
            <w:pPr>
              <w:adjustRightInd w:val="0"/>
              <w:snapToGrid w:val="0"/>
              <w:rPr>
                <w:rFonts w:hint="default" w:ascii="Times New Roman" w:hAnsi="Times New Roman" w:eastAsia="宋体" w:cs="Times New Roman"/>
                <w:b w:val="0"/>
                <w:bCs w:val="0"/>
                <w:sz w:val="21"/>
                <w:szCs w:val="21"/>
                <w:highlight w:val="none"/>
              </w:rPr>
            </w:pPr>
            <w:r>
              <w:rPr>
                <w:rFonts w:hint="default" w:ascii="Times New Roman" w:hAnsi="Times New Roman" w:cs="Times New Roman"/>
                <w:b w:val="0"/>
                <w:bCs w:val="0"/>
                <w:sz w:val="21"/>
                <w:szCs w:val="21"/>
                <w:highlight w:val="none"/>
                <w:lang w:val="en-US" w:eastAsia="zh-CN"/>
              </w:rPr>
              <w:t>拟建</w:t>
            </w:r>
            <w:r>
              <w:rPr>
                <w:rFonts w:hint="default" w:ascii="Times New Roman" w:hAnsi="Times New Roman" w:eastAsia="宋体" w:cs="Times New Roman"/>
                <w:b w:val="0"/>
                <w:bCs w:val="0"/>
                <w:sz w:val="21"/>
                <w:szCs w:val="21"/>
                <w:highlight w:val="none"/>
              </w:rPr>
              <w:t>护栏</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标志</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标线等交通设施。</w:t>
            </w:r>
          </w:p>
        </w:tc>
        <w:tc>
          <w:tcPr>
            <w:tcW w:w="788" w:type="dxa"/>
            <w:vMerge w:val="continue"/>
            <w:tcBorders>
              <w:tl2br w:val="nil"/>
              <w:tr2bl w:val="nil"/>
            </w:tcBorders>
            <w:noWrap w:val="0"/>
            <w:vAlign w:val="center"/>
          </w:tcPr>
          <w:p>
            <w:pPr>
              <w:adjustRightInd w:val="0"/>
              <w:snapToGrid w:val="0"/>
              <w:jc w:val="left"/>
              <w:rPr>
                <w:rFonts w:hint="default" w:ascii="Times New Roman" w:hAnsi="Times New Roman" w:eastAsia="宋体" w:cs="Times New Roman"/>
                <w:b w:val="0"/>
                <w:bCs w:val="0"/>
                <w:kern w:val="2"/>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pStyle w:val="27"/>
              <w:adjustRightInd w:val="0"/>
              <w:snapToGrid w:val="0"/>
              <w:spacing w:line="240" w:lineRule="auto"/>
              <w:ind w:left="0" w:leftChars="0" w:right="0" w:rightChars="0" w:firstLine="0"/>
              <w:jc w:val="center"/>
              <w:rPr>
                <w:rFonts w:hint="default" w:ascii="Times New Roman" w:hAnsi="Times New Roman" w:eastAsia="宋体" w:cs="Times New Roman"/>
                <w:b w:val="0"/>
                <w:bCs w:val="0"/>
                <w:sz w:val="21"/>
                <w:szCs w:val="21"/>
                <w:highlight w:val="none"/>
                <w:lang w:eastAsia="zh-CN"/>
              </w:rPr>
            </w:pPr>
          </w:p>
        </w:tc>
        <w:tc>
          <w:tcPr>
            <w:tcW w:w="1042" w:type="dxa"/>
            <w:gridSpan w:val="2"/>
            <w:tcBorders>
              <w:tl2br w:val="nil"/>
              <w:tr2bl w:val="nil"/>
            </w:tcBorders>
            <w:noWrap w:val="0"/>
            <w:vAlign w:val="center"/>
          </w:tcPr>
          <w:p>
            <w:pPr>
              <w:pStyle w:val="27"/>
              <w:adjustRightInd w:val="0"/>
              <w:snapToGrid w:val="0"/>
              <w:spacing w:line="240" w:lineRule="auto"/>
              <w:ind w:left="0" w:leftChars="0" w:right="0" w:rightChars="0" w:firstLine="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拆迁工程</w:t>
            </w:r>
          </w:p>
        </w:tc>
        <w:tc>
          <w:tcPr>
            <w:tcW w:w="5284" w:type="dxa"/>
            <w:tcBorders>
              <w:tl2br w:val="nil"/>
              <w:tr2bl w:val="nil"/>
            </w:tcBorders>
            <w:noWrap w:val="0"/>
            <w:vAlign w:val="center"/>
          </w:tcPr>
          <w:p>
            <w:pPr>
              <w:pStyle w:val="27"/>
              <w:snapToGrid w:val="0"/>
              <w:spacing w:line="240" w:lineRule="auto"/>
              <w:ind w:left="0" w:leftChars="0" w:right="0" w:firstLine="0" w:firstLineChars="0"/>
              <w:jc w:val="both"/>
              <w:rPr>
                <w:rFonts w:hint="default" w:ascii="Times New Roman" w:hAnsi="Times New Roman" w:eastAsia="宋体" w:cs="Times New Roman"/>
                <w:b w:val="0"/>
                <w:bCs w:val="0"/>
                <w:kern w:val="2"/>
                <w:sz w:val="21"/>
                <w:szCs w:val="21"/>
                <w:highlight w:val="none"/>
              </w:rPr>
            </w:pPr>
            <w:r>
              <w:rPr>
                <w:rFonts w:hint="default" w:ascii="Times New Roman" w:hAnsi="Times New Roman" w:eastAsia="宋体" w:cs="Times New Roman"/>
                <w:b w:val="0"/>
                <w:bCs w:val="0"/>
                <w:kern w:val="2"/>
                <w:sz w:val="21"/>
                <w:szCs w:val="21"/>
                <w:highlight w:val="none"/>
              </w:rPr>
              <w:t>本项目拆迁工程由当地政府负责，项目建设为净地建设。当地政府正在对项目区域进行征占地拆迁安置工程，拆迁后交空地供本项目建设。</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kern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临时工程</w:t>
            </w:r>
          </w:p>
        </w:tc>
        <w:tc>
          <w:tcPr>
            <w:tcW w:w="1042"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施工</w:t>
            </w:r>
            <w:r>
              <w:rPr>
                <w:rFonts w:hint="default" w:ascii="Times New Roman" w:hAnsi="Times New Roman" w:eastAsia="宋体" w:cs="Times New Roman"/>
                <w:b w:val="0"/>
                <w:bCs w:val="0"/>
                <w:sz w:val="21"/>
                <w:szCs w:val="21"/>
                <w:highlight w:val="none"/>
                <w:lang w:eastAsia="zh-CN"/>
              </w:rPr>
              <w:t>营地</w:t>
            </w:r>
          </w:p>
        </w:tc>
        <w:tc>
          <w:tcPr>
            <w:tcW w:w="5284" w:type="dxa"/>
            <w:tcBorders>
              <w:tl2br w:val="nil"/>
              <w:tr2bl w:val="nil"/>
            </w:tcBorders>
            <w:noWrap w:val="0"/>
            <w:vAlign w:val="center"/>
          </w:tcPr>
          <w:p>
            <w:pPr>
              <w:pStyle w:val="11"/>
              <w:adjustRightInd w:val="0"/>
              <w:snapToGrid w:val="0"/>
              <w:jc w:val="left"/>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本项目不设置集中施工营地，项目部</w:t>
            </w:r>
            <w:r>
              <w:rPr>
                <w:rFonts w:hint="default" w:ascii="Times New Roman" w:hAnsi="Times New Roman" w:eastAsia="宋体" w:cs="Times New Roman"/>
                <w:b w:val="0"/>
                <w:bCs w:val="0"/>
                <w:sz w:val="21"/>
                <w:szCs w:val="21"/>
                <w:highlight w:val="none"/>
              </w:rPr>
              <w:t>办公</w:t>
            </w:r>
            <w:r>
              <w:rPr>
                <w:rFonts w:hint="default" w:ascii="Times New Roman" w:hAnsi="Times New Roman" w:eastAsia="宋体" w:cs="Times New Roman"/>
                <w:b w:val="0"/>
                <w:bCs w:val="0"/>
                <w:sz w:val="21"/>
                <w:szCs w:val="21"/>
                <w:highlight w:val="none"/>
                <w:lang w:eastAsia="zh-CN"/>
              </w:rPr>
              <w:t>驻地</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施工人员居住</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生活等租借项目沿线附近民房；</w:t>
            </w:r>
            <w:r>
              <w:rPr>
                <w:rFonts w:hint="default" w:ascii="Times New Roman" w:hAnsi="Times New Roman" w:cs="Times New Roman"/>
                <w:b w:val="0"/>
                <w:bCs w:val="0"/>
                <w:sz w:val="21"/>
                <w:szCs w:val="21"/>
                <w:highlight w:val="none"/>
                <w:lang w:val="en-US" w:eastAsia="zh-CN"/>
              </w:rPr>
              <w:t>拟设置2处</w:t>
            </w:r>
            <w:r>
              <w:rPr>
                <w:rFonts w:hint="default" w:ascii="Times New Roman" w:hAnsi="Times New Roman" w:eastAsia="宋体" w:cs="Times New Roman"/>
                <w:b w:val="0"/>
                <w:bCs w:val="0"/>
                <w:sz w:val="21"/>
                <w:szCs w:val="21"/>
                <w:highlight w:val="none"/>
              </w:rPr>
              <w:t>施工场地</w:t>
            </w:r>
            <w:r>
              <w:rPr>
                <w:rFonts w:hint="default"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lang w:eastAsia="zh-CN"/>
              </w:rPr>
              <w:t>布设于路基永久占地范围内，</w:t>
            </w:r>
            <w:r>
              <w:rPr>
                <w:rFonts w:hint="default" w:ascii="Times New Roman" w:hAnsi="Times New Roman" w:eastAsia="宋体" w:cs="Times New Roman"/>
                <w:b w:val="0"/>
                <w:bCs w:val="0"/>
                <w:sz w:val="21"/>
                <w:szCs w:val="21"/>
                <w:highlight w:val="none"/>
              </w:rPr>
              <w:t>用于施工机械的停放和钢筋</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lang w:eastAsia="zh-CN"/>
              </w:rPr>
              <w:t>砂石料</w:t>
            </w:r>
            <w:r>
              <w:rPr>
                <w:rFonts w:hint="default" w:ascii="Times New Roman" w:hAnsi="Times New Roman" w:eastAsia="宋体" w:cs="Times New Roman"/>
                <w:b w:val="0"/>
                <w:bCs w:val="0"/>
                <w:sz w:val="21"/>
                <w:szCs w:val="21"/>
                <w:highlight w:val="none"/>
              </w:rPr>
              <w:t>等</w:t>
            </w:r>
            <w:r>
              <w:rPr>
                <w:rFonts w:hint="default" w:ascii="Times New Roman" w:hAnsi="Times New Roman" w:eastAsia="宋体" w:cs="Times New Roman"/>
                <w:b w:val="0"/>
                <w:bCs w:val="0"/>
                <w:sz w:val="21"/>
                <w:szCs w:val="21"/>
                <w:highlight w:val="none"/>
                <w:lang w:eastAsia="zh-CN"/>
              </w:rPr>
              <w:t>材料的</w:t>
            </w:r>
            <w:r>
              <w:rPr>
                <w:rFonts w:hint="default" w:ascii="Times New Roman" w:hAnsi="Times New Roman" w:eastAsia="宋体" w:cs="Times New Roman"/>
                <w:b w:val="0"/>
                <w:bCs w:val="0"/>
                <w:sz w:val="21"/>
                <w:szCs w:val="21"/>
                <w:highlight w:val="none"/>
              </w:rPr>
              <w:t>临时堆存</w:t>
            </w:r>
            <w:r>
              <w:rPr>
                <w:rFonts w:hint="eastAsia" w:ascii="Times New Roman" w:hAnsi="Times New Roman" w:cs="Times New Roman"/>
                <w:b w:val="0"/>
                <w:bCs w:val="0"/>
                <w:sz w:val="21"/>
                <w:szCs w:val="21"/>
                <w:highlight w:val="none"/>
                <w:lang w:eastAsia="zh-CN"/>
              </w:rPr>
              <w:t>、</w:t>
            </w:r>
            <w:r>
              <w:rPr>
                <w:rFonts w:hint="default" w:ascii="Times New Roman" w:hAnsi="Times New Roman" w:cs="Times New Roman"/>
                <w:b w:val="0"/>
                <w:bCs w:val="0"/>
                <w:sz w:val="21"/>
                <w:szCs w:val="21"/>
                <w:highlight w:val="none"/>
                <w:lang w:val="en-US" w:eastAsia="zh-CN"/>
              </w:rPr>
              <w:t>桥梁预制件制作等</w:t>
            </w:r>
            <w:r>
              <w:rPr>
                <w:rFonts w:hint="default" w:ascii="Times New Roman" w:hAnsi="Times New Roman" w:eastAsia="宋体" w:cs="Times New Roman"/>
                <w:b w:val="0"/>
                <w:bCs w:val="0"/>
                <w:sz w:val="21"/>
                <w:szCs w:val="21"/>
                <w:highlight w:val="none"/>
                <w:lang w:eastAsia="zh-CN"/>
              </w:rPr>
              <w:t>。</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kern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施工便道</w:t>
            </w:r>
          </w:p>
        </w:tc>
        <w:tc>
          <w:tcPr>
            <w:tcW w:w="5284" w:type="dxa"/>
            <w:tcBorders>
              <w:tl2br w:val="nil"/>
              <w:tr2bl w:val="nil"/>
            </w:tcBorders>
            <w:noWrap w:val="0"/>
            <w:vAlign w:val="center"/>
          </w:tcPr>
          <w:p>
            <w:pPr>
              <w:adjustRightInd w:val="0"/>
              <w:snapToGrid w:val="0"/>
              <w:ind w:left="0" w:right="0"/>
              <w:jc w:val="left"/>
              <w:rPr>
                <w:rFonts w:hint="default" w:ascii="Times New Roman" w:hAnsi="Times New Roman" w:eastAsia="宋体" w:cs="Times New Roman"/>
                <w:b w:val="0"/>
                <w:bCs w:val="0"/>
                <w:sz w:val="21"/>
                <w:szCs w:val="21"/>
                <w:highlight w:val="none"/>
              </w:rPr>
            </w:pPr>
            <w:r>
              <w:rPr>
                <w:rFonts w:hint="default" w:ascii="Times New Roman" w:hAnsi="Times New Roman" w:cs="Times New Roman"/>
                <w:spacing w:val="-1"/>
                <w:kern w:val="0"/>
                <w:sz w:val="21"/>
                <w:szCs w:val="21"/>
              </w:rPr>
              <w:t>全线新建施工便道</w:t>
            </w:r>
            <w:r>
              <w:rPr>
                <w:rFonts w:hint="default" w:ascii="Times New Roman" w:hAnsi="Times New Roman" w:cs="Times New Roman"/>
                <w:spacing w:val="-1"/>
                <w:kern w:val="0"/>
                <w:sz w:val="21"/>
                <w:szCs w:val="21"/>
                <w:lang w:val="en-US" w:eastAsia="zh-CN"/>
              </w:rPr>
              <w:t>4.938</w:t>
            </w:r>
            <w:r>
              <w:rPr>
                <w:rFonts w:hint="default" w:ascii="Times New Roman" w:hAnsi="Times New Roman" w:cs="Times New Roman"/>
                <w:spacing w:val="-1"/>
                <w:kern w:val="0"/>
                <w:sz w:val="21"/>
                <w:szCs w:val="21"/>
              </w:rPr>
              <w:t>km，</w:t>
            </w:r>
            <w:r>
              <w:rPr>
                <w:rFonts w:hint="default" w:ascii="Times New Roman" w:hAnsi="Times New Roman" w:cs="Times New Roman"/>
                <w:spacing w:val="-1"/>
                <w:kern w:val="0"/>
                <w:sz w:val="21"/>
                <w:szCs w:val="21"/>
                <w:lang w:val="en-US" w:eastAsia="zh-CN"/>
              </w:rPr>
              <w:t>恢复</w:t>
            </w:r>
            <w:r>
              <w:rPr>
                <w:rFonts w:hint="default" w:ascii="Times New Roman" w:hAnsi="Times New Roman" w:cs="Times New Roman"/>
                <w:spacing w:val="-1"/>
                <w:kern w:val="0"/>
                <w:sz w:val="21"/>
                <w:szCs w:val="21"/>
              </w:rPr>
              <w:t>部分原有村道</w:t>
            </w:r>
            <w:r>
              <w:rPr>
                <w:rFonts w:hint="default" w:ascii="Times New Roman" w:hAnsi="Times New Roman" w:cs="Times New Roman"/>
                <w:spacing w:val="-1"/>
                <w:kern w:val="0"/>
                <w:sz w:val="21"/>
                <w:szCs w:val="21"/>
                <w:lang w:val="en-US" w:eastAsia="zh-CN"/>
              </w:rPr>
              <w:t>880</w:t>
            </w:r>
            <w:r>
              <w:rPr>
                <w:rFonts w:hint="default" w:ascii="Times New Roman" w:hAnsi="Times New Roman" w:cs="Times New Roman"/>
                <w:spacing w:val="-1"/>
                <w:kern w:val="0"/>
                <w:sz w:val="21"/>
                <w:szCs w:val="21"/>
              </w:rPr>
              <w:t>m</w:t>
            </w:r>
            <w:r>
              <w:rPr>
                <w:rFonts w:hint="default" w:ascii="Times New Roman" w:hAnsi="Times New Roman" w:cs="Times New Roman"/>
                <w:spacing w:val="-1"/>
                <w:kern w:val="0"/>
                <w:sz w:val="21"/>
                <w:szCs w:val="21"/>
                <w:lang w:eastAsia="zh-CN"/>
              </w:rPr>
              <w:t>，</w:t>
            </w:r>
            <w:r>
              <w:rPr>
                <w:rFonts w:hint="default" w:ascii="Times New Roman" w:hAnsi="Times New Roman" w:cs="Times New Roman"/>
                <w:spacing w:val="-1"/>
                <w:kern w:val="0"/>
                <w:sz w:val="21"/>
                <w:szCs w:val="21"/>
                <w:lang w:val="en-US" w:eastAsia="zh-CN"/>
              </w:rPr>
              <w:t>采用水泥混凝土</w:t>
            </w:r>
            <w:r>
              <w:rPr>
                <w:rFonts w:hint="eastAsia" w:ascii="Times New Roman" w:hAnsi="Times New Roman" w:cs="Times New Roman"/>
                <w:spacing w:val="-1"/>
                <w:kern w:val="0"/>
                <w:sz w:val="21"/>
                <w:szCs w:val="21"/>
                <w:lang w:val="en-US" w:eastAsia="zh-CN"/>
              </w:rPr>
              <w:t>、</w:t>
            </w:r>
            <w:r>
              <w:rPr>
                <w:rFonts w:hint="default" w:ascii="Times New Roman" w:hAnsi="Times New Roman" w:cs="Times New Roman"/>
                <w:spacing w:val="-1"/>
                <w:kern w:val="0"/>
                <w:sz w:val="21"/>
                <w:szCs w:val="21"/>
                <w:lang w:val="en-US" w:eastAsia="zh-CN"/>
              </w:rPr>
              <w:t>碎石路面，宽度3.5m。</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kern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砂石料场</w:t>
            </w: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sz w:val="21"/>
                <w:szCs w:val="21"/>
                <w:highlight w:val="none"/>
              </w:rPr>
            </w:pPr>
            <w:r>
              <w:rPr>
                <w:rFonts w:hint="default" w:ascii="Times New Roman" w:hAnsi="Times New Roman" w:cs="Times New Roman"/>
                <w:b w:val="0"/>
                <w:bCs w:val="0"/>
                <w:sz w:val="21"/>
                <w:szCs w:val="21"/>
              </w:rPr>
              <w:t>全线所需各种材料的供应，</w:t>
            </w:r>
            <w:r>
              <w:rPr>
                <w:rFonts w:hint="default" w:ascii="Times New Roman" w:hAnsi="Times New Roman" w:cs="Times New Roman"/>
                <w:b w:val="0"/>
                <w:bCs w:val="0"/>
                <w:kern w:val="24"/>
                <w:sz w:val="21"/>
                <w:szCs w:val="21"/>
              </w:rPr>
              <w:t>砂砾料</w:t>
            </w:r>
            <w:r>
              <w:rPr>
                <w:rFonts w:hint="eastAsia" w:ascii="Times New Roman" w:hAnsi="Times New Roman" w:cs="Times New Roman"/>
                <w:b w:val="0"/>
                <w:bCs w:val="0"/>
                <w:kern w:val="24"/>
                <w:sz w:val="21"/>
                <w:szCs w:val="21"/>
                <w:lang w:eastAsia="zh-CN"/>
              </w:rPr>
              <w:t>、</w:t>
            </w:r>
            <w:r>
              <w:rPr>
                <w:rFonts w:hint="default" w:ascii="Times New Roman" w:hAnsi="Times New Roman" w:cs="Times New Roman"/>
                <w:b w:val="0"/>
                <w:bCs w:val="0"/>
                <w:kern w:val="24"/>
                <w:sz w:val="21"/>
                <w:szCs w:val="21"/>
              </w:rPr>
              <w:t>碎石</w:t>
            </w:r>
            <w:r>
              <w:rPr>
                <w:rFonts w:hint="eastAsia" w:ascii="Times New Roman" w:hAnsi="Times New Roman" w:cs="Times New Roman"/>
                <w:b w:val="0"/>
                <w:bCs w:val="0"/>
                <w:kern w:val="24"/>
                <w:sz w:val="21"/>
                <w:szCs w:val="21"/>
                <w:lang w:eastAsia="zh-CN"/>
              </w:rPr>
              <w:t>、</w:t>
            </w:r>
            <w:r>
              <w:rPr>
                <w:rFonts w:hint="default" w:ascii="Times New Roman" w:hAnsi="Times New Roman" w:cs="Times New Roman"/>
                <w:b w:val="0"/>
                <w:bCs w:val="0"/>
                <w:sz w:val="21"/>
                <w:szCs w:val="21"/>
              </w:rPr>
              <w:t>钢材</w:t>
            </w:r>
            <w:r>
              <w:rPr>
                <w:rFonts w:hint="eastAsia"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水泥等均为外购</w:t>
            </w:r>
            <w:r>
              <w:rPr>
                <w:rFonts w:hint="default" w:ascii="Times New Roman" w:hAnsi="Times New Roman" w:eastAsia="宋体" w:cs="Times New Roman"/>
                <w:b w:val="0"/>
                <w:bCs w:val="0"/>
                <w:sz w:val="21"/>
                <w:szCs w:val="21"/>
                <w:highlight w:val="none"/>
              </w:rPr>
              <w:t>。</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kern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拌合场</w:t>
            </w: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项目施工不在现场设置冷</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热拌合场，本项目所需水泥混凝土均在附近</w:t>
            </w:r>
            <w:r>
              <w:rPr>
                <w:rFonts w:hint="default" w:ascii="Times New Roman" w:hAnsi="Times New Roman" w:eastAsia="宋体" w:cs="Times New Roman"/>
                <w:b w:val="0"/>
                <w:bCs w:val="0"/>
                <w:sz w:val="21"/>
                <w:szCs w:val="21"/>
                <w:highlight w:val="none"/>
                <w:lang w:eastAsia="zh-CN"/>
              </w:rPr>
              <w:t>商砼站</w:t>
            </w:r>
            <w:r>
              <w:rPr>
                <w:rFonts w:hint="default" w:ascii="Times New Roman" w:hAnsi="Times New Roman" w:eastAsia="宋体" w:cs="Times New Roman"/>
                <w:b w:val="0"/>
                <w:bCs w:val="0"/>
                <w:sz w:val="21"/>
                <w:szCs w:val="21"/>
                <w:highlight w:val="none"/>
              </w:rPr>
              <w:t>购买。</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kern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eastAsia="zh-CN"/>
              </w:rPr>
              <w:t>临时堆场</w:t>
            </w: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eastAsia="zh-CN"/>
              </w:rPr>
              <w:t>项目材料</w:t>
            </w:r>
            <w:r>
              <w:rPr>
                <w:rFonts w:hint="eastAsia" w:ascii="Times New Roman" w:hAnsi="Times New Roman"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lang w:eastAsia="zh-CN"/>
              </w:rPr>
              <w:t>渣土临时堆放于公路两侧，日产日清渣土，及时运至指定</w:t>
            </w:r>
            <w:r>
              <w:rPr>
                <w:rFonts w:hint="default" w:ascii="Times New Roman" w:hAnsi="Times New Roman" w:cs="Times New Roman"/>
                <w:b w:val="0"/>
                <w:bCs w:val="0"/>
                <w:sz w:val="21"/>
                <w:szCs w:val="21"/>
                <w:highlight w:val="none"/>
                <w:lang w:val="en-US" w:eastAsia="zh-CN"/>
              </w:rPr>
              <w:t>弃渣场</w:t>
            </w:r>
            <w:r>
              <w:rPr>
                <w:rFonts w:hint="default" w:ascii="Times New Roman" w:hAnsi="Times New Roman" w:eastAsia="宋体" w:cs="Times New Roman"/>
                <w:b w:val="0"/>
                <w:bCs w:val="0"/>
                <w:sz w:val="21"/>
                <w:szCs w:val="21"/>
                <w:highlight w:val="none"/>
                <w:lang w:eastAsia="zh-CN"/>
              </w:rPr>
              <w:t>。</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kern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环保工程</w:t>
            </w:r>
          </w:p>
        </w:tc>
        <w:tc>
          <w:tcPr>
            <w:tcW w:w="1042" w:type="dxa"/>
            <w:gridSpan w:val="2"/>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废气治理</w:t>
            </w: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kern w:val="0"/>
                <w:sz w:val="21"/>
                <w:szCs w:val="21"/>
                <w:highlight w:val="none"/>
              </w:rPr>
            </w:pPr>
            <w:r>
              <w:rPr>
                <w:rFonts w:hint="default" w:ascii="Times New Roman" w:hAnsi="Times New Roman" w:eastAsia="宋体" w:cs="Times New Roman"/>
                <w:b w:val="0"/>
                <w:bCs w:val="0"/>
                <w:kern w:val="0"/>
                <w:sz w:val="21"/>
                <w:szCs w:val="21"/>
                <w:highlight w:val="none"/>
              </w:rPr>
              <w:t>施工期：施工场地进出口设置车辆清洗池，减少车辆运输产生的扬尘。采用打围作业，场地内洒水减少施工扬尘。</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kern w:val="0"/>
                <w:sz w:val="21"/>
                <w:szCs w:val="21"/>
                <w:highlight w:val="none"/>
              </w:rPr>
            </w:pPr>
            <w:r>
              <w:rPr>
                <w:rFonts w:hint="default" w:ascii="Times New Roman" w:hAnsi="Times New Roman" w:eastAsia="宋体" w:cs="Times New Roman"/>
                <w:b w:val="0"/>
                <w:bCs w:val="0"/>
                <w:kern w:val="0"/>
                <w:sz w:val="21"/>
                <w:szCs w:val="21"/>
                <w:highlight w:val="none"/>
              </w:rPr>
              <w:t>营运期：车辆尾气通过提高燃料品质</w:t>
            </w:r>
            <w:r>
              <w:rPr>
                <w:rFonts w:hint="eastAsia" w:ascii="Times New Roman" w:hAnsi="Times New Roman"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车辆加装尾气处理装置</w:t>
            </w:r>
            <w:r>
              <w:rPr>
                <w:rFonts w:hint="eastAsia" w:ascii="Times New Roman" w:hAnsi="Times New Roman"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控制车速</w:t>
            </w:r>
            <w:r>
              <w:rPr>
                <w:rFonts w:hint="eastAsia" w:ascii="Times New Roman" w:hAnsi="Times New Roman"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洒水降尘来防治车辆尾气</w:t>
            </w:r>
            <w:r>
              <w:rPr>
                <w:rFonts w:hint="eastAsia" w:ascii="Times New Roman" w:hAnsi="Times New Roman"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扬尘，加强道路两侧绿化控制。</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废水治理</w:t>
            </w: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kern w:val="0"/>
                <w:sz w:val="21"/>
                <w:szCs w:val="21"/>
                <w:highlight w:val="none"/>
              </w:rPr>
            </w:pPr>
            <w:r>
              <w:rPr>
                <w:rFonts w:hint="default" w:ascii="Times New Roman" w:hAnsi="Times New Roman" w:eastAsia="宋体" w:cs="Times New Roman"/>
                <w:b w:val="0"/>
                <w:bCs w:val="0"/>
                <w:kern w:val="0"/>
                <w:sz w:val="21"/>
                <w:szCs w:val="21"/>
                <w:highlight w:val="none"/>
              </w:rPr>
              <w:t>施工期：生活污水依托所租赁的房屋的卫生设施</w:t>
            </w:r>
            <w:r>
              <w:rPr>
                <w:rFonts w:hint="default" w:ascii="Times New Roman" w:hAnsi="Times New Roman" w:eastAsia="宋体" w:cs="Times New Roman"/>
                <w:b w:val="0"/>
                <w:bCs w:val="0"/>
                <w:kern w:val="0"/>
                <w:sz w:val="21"/>
                <w:szCs w:val="21"/>
                <w:highlight w:val="none"/>
                <w:lang w:eastAsia="zh-CN"/>
              </w:rPr>
              <w:t>或自建旱厕收集</w:t>
            </w:r>
            <w:r>
              <w:rPr>
                <w:rFonts w:hint="default" w:ascii="Times New Roman" w:hAnsi="Times New Roman" w:eastAsia="宋体" w:cs="Times New Roman"/>
                <w:b w:val="0"/>
                <w:bCs w:val="0"/>
                <w:kern w:val="0"/>
                <w:sz w:val="21"/>
                <w:szCs w:val="21"/>
                <w:highlight w:val="none"/>
              </w:rPr>
              <w:t>；冲洗废水沉淀后循环利用</w:t>
            </w:r>
            <w:r>
              <w:rPr>
                <w:rFonts w:hint="default" w:ascii="Times New Roman" w:hAnsi="Times New Roman" w:eastAsia="宋体" w:cs="Times New Roman"/>
                <w:b w:val="0"/>
                <w:bCs w:val="0"/>
                <w:kern w:val="0"/>
                <w:sz w:val="21"/>
                <w:szCs w:val="21"/>
                <w:highlight w:val="none"/>
                <w:lang w:eastAsia="zh-CN"/>
              </w:rPr>
              <w:t>；</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kern w:val="0"/>
                <w:sz w:val="21"/>
                <w:szCs w:val="21"/>
                <w:highlight w:val="none"/>
              </w:rPr>
            </w:pPr>
            <w:r>
              <w:rPr>
                <w:rFonts w:hint="default" w:ascii="Times New Roman" w:hAnsi="Times New Roman" w:eastAsia="宋体" w:cs="Times New Roman"/>
                <w:b w:val="0"/>
                <w:bCs w:val="0"/>
                <w:kern w:val="0"/>
                <w:sz w:val="21"/>
                <w:szCs w:val="21"/>
                <w:highlight w:val="none"/>
              </w:rPr>
              <w:t>营运期：道路路面径流经</w:t>
            </w:r>
            <w:r>
              <w:rPr>
                <w:rFonts w:hint="default" w:ascii="Times New Roman" w:hAnsi="Times New Roman" w:eastAsia="宋体" w:cs="Times New Roman"/>
                <w:b w:val="0"/>
                <w:bCs w:val="0"/>
                <w:kern w:val="0"/>
                <w:sz w:val="21"/>
                <w:szCs w:val="21"/>
                <w:highlight w:val="none"/>
                <w:lang w:val="en-US" w:eastAsia="zh-CN"/>
              </w:rPr>
              <w:t>边沟收集后排入既有雨水收集系统</w:t>
            </w:r>
            <w:r>
              <w:rPr>
                <w:rFonts w:hint="default" w:ascii="Times New Roman" w:hAnsi="Times New Roman" w:eastAsia="宋体" w:cs="Times New Roman"/>
                <w:b w:val="0"/>
                <w:bCs w:val="0"/>
                <w:kern w:val="0"/>
                <w:sz w:val="21"/>
                <w:szCs w:val="21"/>
                <w:highlight w:val="none"/>
              </w:rPr>
              <w:t>。</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固废治理</w:t>
            </w: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施工期：生活垃圾经集中</w:t>
            </w:r>
            <w:r>
              <w:rPr>
                <w:rFonts w:hint="default" w:ascii="Times New Roman" w:hAnsi="Times New Roman" w:cs="Times New Roman"/>
                <w:b w:val="0"/>
                <w:bCs w:val="0"/>
                <w:sz w:val="21"/>
                <w:szCs w:val="21"/>
                <w:highlight w:val="none"/>
                <w:lang w:val="en-US" w:eastAsia="zh-CN"/>
              </w:rPr>
              <w:t>收集</w:t>
            </w:r>
            <w:r>
              <w:rPr>
                <w:rFonts w:hint="default" w:ascii="Times New Roman" w:hAnsi="Times New Roman" w:eastAsia="宋体" w:cs="Times New Roman"/>
                <w:b w:val="0"/>
                <w:bCs w:val="0"/>
                <w:sz w:val="21"/>
                <w:szCs w:val="21"/>
                <w:highlight w:val="none"/>
              </w:rPr>
              <w:t>后一并</w:t>
            </w:r>
            <w:r>
              <w:rPr>
                <w:rFonts w:hint="default" w:ascii="Times New Roman" w:hAnsi="Times New Roman" w:eastAsia="宋体" w:cs="Times New Roman"/>
                <w:b w:val="0"/>
                <w:bCs w:val="0"/>
                <w:sz w:val="21"/>
                <w:szCs w:val="21"/>
                <w:highlight w:val="none"/>
                <w:lang w:eastAsia="zh-CN"/>
              </w:rPr>
              <w:t>交由环卫部门</w:t>
            </w:r>
            <w:r>
              <w:rPr>
                <w:rFonts w:hint="default" w:ascii="Times New Roman" w:hAnsi="Times New Roman" w:eastAsia="宋体" w:cs="Times New Roman"/>
                <w:b w:val="0"/>
                <w:bCs w:val="0"/>
                <w:sz w:val="21"/>
                <w:szCs w:val="21"/>
                <w:highlight w:val="none"/>
              </w:rPr>
              <w:t>处置；</w:t>
            </w:r>
            <w:r>
              <w:rPr>
                <w:rFonts w:hint="default" w:ascii="Times New Roman" w:hAnsi="Times New Roman" w:eastAsia="宋体" w:cs="Times New Roman"/>
                <w:b w:val="0"/>
                <w:bCs w:val="0"/>
                <w:sz w:val="21"/>
                <w:szCs w:val="21"/>
                <w:highlight w:val="none"/>
                <w:lang w:eastAsia="zh-CN"/>
              </w:rPr>
              <w:t>施工弃土统一运至指定弃土场处置；</w:t>
            </w:r>
            <w:r>
              <w:rPr>
                <w:rFonts w:hint="default" w:ascii="Times New Roman" w:hAnsi="Times New Roman" w:eastAsia="宋体" w:cs="Times New Roman"/>
                <w:b w:val="0"/>
                <w:bCs w:val="0"/>
                <w:sz w:val="21"/>
                <w:szCs w:val="21"/>
                <w:highlight w:val="none"/>
              </w:rPr>
              <w:t>建筑垃圾可利用的就地利用，不可利用的运至指定建筑垃圾填埋场处置。</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营运期：道路垃圾由环卫部门定期清理路面垃圾</w:t>
            </w:r>
            <w:r>
              <w:rPr>
                <w:rFonts w:hint="default" w:ascii="Times New Roman" w:hAnsi="Times New Roman" w:eastAsia="宋体" w:cs="Times New Roman"/>
                <w:b w:val="0"/>
                <w:bCs w:val="0"/>
                <w:sz w:val="21"/>
                <w:szCs w:val="21"/>
                <w:highlight w:val="none"/>
                <w:lang w:eastAsia="zh-CN"/>
              </w:rPr>
              <w:t>；</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噪声治理</w:t>
            </w: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kern w:val="0"/>
                <w:sz w:val="21"/>
                <w:szCs w:val="21"/>
                <w:highlight w:val="none"/>
              </w:rPr>
            </w:pPr>
            <w:r>
              <w:rPr>
                <w:rFonts w:hint="default" w:ascii="Times New Roman" w:hAnsi="Times New Roman" w:eastAsia="宋体" w:cs="Times New Roman"/>
                <w:b w:val="0"/>
                <w:bCs w:val="0"/>
                <w:kern w:val="0"/>
                <w:sz w:val="21"/>
                <w:szCs w:val="21"/>
                <w:highlight w:val="none"/>
              </w:rPr>
              <w:t>施工期：加强机动车运输管理，合理控制道路车流量和车速和车辆鸣号，避免车辆拥挤，并设置限速</w:t>
            </w:r>
            <w:r>
              <w:rPr>
                <w:rFonts w:hint="eastAsia" w:ascii="Times New Roman" w:hAnsi="Times New Roman"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禁鸣等标志，禁止夜间施工。</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kern w:val="0"/>
                <w:sz w:val="21"/>
                <w:szCs w:val="21"/>
                <w:highlight w:val="none"/>
              </w:rPr>
            </w:pPr>
            <w:r>
              <w:rPr>
                <w:rFonts w:hint="default" w:ascii="Times New Roman" w:hAnsi="Times New Roman" w:eastAsia="宋体" w:cs="Times New Roman"/>
                <w:b w:val="0"/>
                <w:bCs w:val="0"/>
                <w:kern w:val="0"/>
                <w:sz w:val="21"/>
                <w:szCs w:val="21"/>
                <w:highlight w:val="none"/>
              </w:rPr>
              <w:t>营运期：交通噪声采取设置限速</w:t>
            </w:r>
            <w:r>
              <w:rPr>
                <w:rFonts w:hint="eastAsia" w:ascii="Times New Roman" w:hAnsi="Times New Roman"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禁鸣等标志，设置减速带等措施。</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生态治理</w:t>
            </w: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kern w:val="0"/>
                <w:sz w:val="21"/>
                <w:szCs w:val="21"/>
                <w:highlight w:val="none"/>
              </w:rPr>
            </w:pPr>
            <w:r>
              <w:rPr>
                <w:rFonts w:hint="default" w:ascii="Times New Roman" w:hAnsi="Times New Roman" w:eastAsia="宋体" w:cs="Times New Roman"/>
                <w:b w:val="0"/>
                <w:bCs w:val="0"/>
                <w:kern w:val="0"/>
                <w:sz w:val="21"/>
                <w:szCs w:val="21"/>
                <w:highlight w:val="none"/>
              </w:rPr>
              <w:t>施工期：严格执行各项水土保持措施</w:t>
            </w:r>
            <w:r>
              <w:rPr>
                <w:rFonts w:hint="default" w:ascii="Times New Roman" w:hAnsi="Times New Roman" w:eastAsia="宋体"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严格控制施工范围，禁止破坏项目占地外的植被。</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43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1042" w:type="dxa"/>
            <w:gridSpan w:val="2"/>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5284" w:type="dxa"/>
            <w:tcBorders>
              <w:tl2br w:val="nil"/>
              <w:tr2bl w:val="nil"/>
            </w:tcBorders>
            <w:noWrap w:val="0"/>
            <w:vAlign w:val="center"/>
          </w:tcPr>
          <w:p>
            <w:pPr>
              <w:adjustRightInd w:val="0"/>
              <w:snapToGrid w:val="0"/>
              <w:jc w:val="left"/>
              <w:rPr>
                <w:rFonts w:hint="default" w:ascii="Times New Roman" w:hAnsi="Times New Roman" w:eastAsia="宋体" w:cs="Times New Roman"/>
                <w:b w:val="0"/>
                <w:bCs w:val="0"/>
                <w:kern w:val="0"/>
                <w:sz w:val="21"/>
                <w:szCs w:val="21"/>
                <w:highlight w:val="none"/>
              </w:rPr>
            </w:pPr>
            <w:r>
              <w:rPr>
                <w:rFonts w:hint="default" w:ascii="Times New Roman" w:hAnsi="Times New Roman" w:eastAsia="宋体" w:cs="Times New Roman"/>
                <w:b w:val="0"/>
                <w:bCs w:val="0"/>
                <w:kern w:val="0"/>
                <w:sz w:val="21"/>
                <w:szCs w:val="21"/>
                <w:highlight w:val="none"/>
              </w:rPr>
              <w:t>营运期：植被恢复</w:t>
            </w:r>
            <w:r>
              <w:rPr>
                <w:rFonts w:hint="eastAsia" w:ascii="Times New Roman" w:hAnsi="Times New Roman"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lang w:eastAsia="zh-CN"/>
              </w:rPr>
              <w:t>生态护坡</w:t>
            </w:r>
            <w:r>
              <w:rPr>
                <w:rFonts w:hint="eastAsia" w:ascii="Times New Roman" w:hAnsi="Times New Roman" w:cs="Times New Roman"/>
                <w:b w:val="0"/>
                <w:bCs w:val="0"/>
                <w:kern w:val="0"/>
                <w:sz w:val="21"/>
                <w:szCs w:val="21"/>
                <w:highlight w:val="none"/>
                <w:lang w:eastAsia="zh-CN"/>
              </w:rPr>
              <w:t>、</w:t>
            </w:r>
            <w:r>
              <w:rPr>
                <w:rFonts w:hint="default" w:ascii="Times New Roman" w:hAnsi="Times New Roman" w:eastAsia="宋体" w:cs="Times New Roman"/>
                <w:b w:val="0"/>
                <w:bCs w:val="0"/>
                <w:kern w:val="0"/>
                <w:sz w:val="21"/>
                <w:szCs w:val="21"/>
                <w:highlight w:val="none"/>
              </w:rPr>
              <w:t>绿化工程</w:t>
            </w:r>
            <w:r>
              <w:rPr>
                <w:rFonts w:hint="default" w:ascii="Times New Roman" w:hAnsi="Times New Roman" w:eastAsia="宋体" w:cs="Times New Roman"/>
                <w:b w:val="0"/>
                <w:bCs w:val="0"/>
                <w:kern w:val="0"/>
                <w:sz w:val="21"/>
                <w:szCs w:val="21"/>
                <w:highlight w:val="none"/>
                <w:lang w:eastAsia="zh-CN"/>
              </w:rPr>
              <w:t>等</w:t>
            </w:r>
            <w:r>
              <w:rPr>
                <w:rFonts w:hint="default" w:ascii="Times New Roman" w:hAnsi="Times New Roman" w:eastAsia="宋体" w:cs="Times New Roman"/>
                <w:b w:val="0"/>
                <w:bCs w:val="0"/>
                <w:kern w:val="0"/>
                <w:sz w:val="21"/>
                <w:szCs w:val="21"/>
                <w:highlight w:val="none"/>
              </w:rPr>
              <w:t>。</w:t>
            </w:r>
          </w:p>
        </w:tc>
        <w:tc>
          <w:tcPr>
            <w:tcW w:w="7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p>
        </w:tc>
        <w:tc>
          <w:tcPr>
            <w:tcW w:w="68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w:t>
            </w:r>
          </w:p>
        </w:tc>
      </w:tr>
    </w:tbl>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（1）施工前期工程建设环境影响因素分析</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本工程占地类型包括耕地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林地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交通运输用地等，工程占地将改变土地利用性质，对土地资源和生态环境产生影响。</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（2）施工期工程建设环境影响分析</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本项目公路在施工期对环境产生影响的主要环节包括：施工准备（施工场地清理）</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桥梁施工</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施工机械运作</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路面铺设</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生活污水及生活垃圾排放等。</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1）施工准备</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施工准备包括不良地质换填，弃渣场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取土场等临时场地清表等工作，将清除原有地被物，直接破坏草地等；此外，由于扰动地表，将在一定范围内造成水土流失；而且在场地清理过程中，由于施工机械噪声和施工废气排放，也会造成施工区周边环境质量在一定时期内下降。</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2）桥梁施工</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全线共设置桥梁196m/2 座，其中四合大桥108m，临巴中桥88m，工程桥梁施工工序为；搭建施工平台→桥梁基础施工→桥梁上部构造施工。均不涉水施工。主要污染为施工过程中所产生的废水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弃渣若不进行合理处置，造成施工河流水质下降。</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3）施工机械运作</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公路施工过程中将有大量的施工机械进入施工场地，施工机械运作过程中产生的机械噪声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扬尘</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排放的废气；施工车辆运输往来将产生交通扬尘。污染物的排放将对声环境</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环境空气产生影响。</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4）路面铺设</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路面施工过程产生的噪声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沥青烟尘等将对声环境</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环境空气产生影响。</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5）施工人员生活污水和生活垃圾排放</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对于施工人员生活污水和生活垃圾如不采取相应的收集措施，可能会对施工营地附近的水环境</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生态造成不利的影响。</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（3）运营期项目环境影响分析</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公路运营期对环境的影响有促进经济社会发展的正面影响，也存在交通运输噪声的污染环境影响。工程运营后，对环境产生影响的主要是车辆行驶过程中产生的交通噪声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车辆排放的尾气</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固体废物以及可能发生的环境风险事故等</w:t>
      </w:r>
      <w:r>
        <w:rPr>
          <w:rFonts w:hint="default" w:ascii="Times New Roman" w:hAnsi="Times New Roman" w:cs="Times New Roman"/>
          <w:b w:val="0"/>
          <w:bCs w:val="0"/>
          <w:sz w:val="24"/>
          <w:szCs w:val="24"/>
          <w:highlight w:val="none"/>
          <w:lang w:val="en-US" w:eastAsia="zh-CN" w:bidi="zh-CN"/>
        </w:rPr>
        <w:t>。</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1）</w:t>
      </w:r>
      <w:r>
        <w:rPr>
          <w:rFonts w:hint="default" w:ascii="Times New Roman" w:hAnsi="Times New Roman" w:eastAsia="宋体" w:cs="Times New Roman"/>
          <w:b w:val="0"/>
          <w:bCs w:val="0"/>
          <w:sz w:val="24"/>
          <w:szCs w:val="24"/>
          <w:highlight w:val="none"/>
          <w:lang w:val="en-US" w:eastAsia="zh-CN" w:bidi="zh-CN"/>
        </w:rPr>
        <w:t>交通噪声</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车辆行驶过程中车轮与地面摩擦产生的噪声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发动机产生的噪声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汽车鸣笛等产生的交通噪声将对沿线声环境敏感点产生影响。</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2）</w:t>
      </w:r>
      <w:r>
        <w:rPr>
          <w:rFonts w:hint="default" w:ascii="Times New Roman" w:hAnsi="Times New Roman" w:eastAsia="宋体" w:cs="Times New Roman"/>
          <w:b w:val="0"/>
          <w:bCs w:val="0"/>
          <w:sz w:val="24"/>
          <w:szCs w:val="24"/>
          <w:highlight w:val="none"/>
          <w:lang w:val="en-US" w:eastAsia="zh-CN" w:bidi="zh-CN"/>
        </w:rPr>
        <w:t>车辆尾气</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车辆行驶过程中排放的尾气可能会对沿线敏感点环境空气产生影响。汽车尾气排放的污染物主要有NO2</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CO等。</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3）</w:t>
      </w:r>
      <w:r>
        <w:rPr>
          <w:rFonts w:hint="default" w:ascii="Times New Roman" w:hAnsi="Times New Roman" w:eastAsia="宋体" w:cs="Times New Roman"/>
          <w:b w:val="0"/>
          <w:bCs w:val="0"/>
          <w:sz w:val="24"/>
          <w:szCs w:val="24"/>
          <w:highlight w:val="none"/>
          <w:lang w:val="en-US" w:eastAsia="zh-CN" w:bidi="zh-CN"/>
        </w:rPr>
        <w:t>危险品风险事故</w:t>
      </w:r>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本工程重点环境风险敏感路段为</w:t>
      </w:r>
      <w:r>
        <w:rPr>
          <w:rFonts w:hint="default" w:ascii="Times New Roman" w:hAnsi="Times New Roman" w:cs="Times New Roman"/>
          <w:b w:val="0"/>
          <w:bCs w:val="0"/>
          <w:sz w:val="24"/>
          <w:szCs w:val="24"/>
          <w:highlight w:val="none"/>
          <w:lang w:val="en-US" w:eastAsia="zh-CN" w:bidi="zh-CN"/>
        </w:rPr>
        <w:t>跨越河流</w:t>
      </w:r>
      <w:r>
        <w:rPr>
          <w:rFonts w:hint="default" w:ascii="Times New Roman" w:hAnsi="Times New Roman" w:eastAsia="宋体" w:cs="Times New Roman"/>
          <w:b w:val="0"/>
          <w:bCs w:val="0"/>
          <w:sz w:val="24"/>
          <w:szCs w:val="24"/>
          <w:highlight w:val="none"/>
          <w:lang w:val="en-US" w:eastAsia="zh-CN" w:bidi="zh-CN"/>
        </w:rPr>
        <w:t>路段。在非正常情况下，装有汽油</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柴油等易燃易爆品的车辆可能会因交通事故而导致危险品泄漏或洒落到水体将污染其局部水域，洒落到敏感路段会对其生态</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土壤等环境造成污染。因此上述路段存在一定环境风险。</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本项目施工期和运营期主要环境影响因素分析见表2.13-</w:t>
      </w:r>
      <w:r>
        <w:rPr>
          <w:rFonts w:hint="eastAsia" w:ascii="Times New Roman" w:hAnsi="Times New Roman" w:cs="Times New Roman"/>
          <w:b w:val="0"/>
          <w:bCs w:val="0"/>
          <w:sz w:val="24"/>
          <w:szCs w:val="24"/>
          <w:highlight w:val="none"/>
          <w:lang w:val="en-US" w:eastAsia="zh-CN" w:bidi="zh-CN"/>
        </w:rPr>
        <w:t>2、</w:t>
      </w:r>
      <w:r>
        <w:rPr>
          <w:rFonts w:hint="default" w:ascii="Times New Roman" w:hAnsi="Times New Roman" w:cs="Times New Roman"/>
          <w:b w:val="0"/>
          <w:bCs w:val="0"/>
          <w:sz w:val="24"/>
          <w:szCs w:val="24"/>
          <w:highlight w:val="none"/>
          <w:lang w:val="en-US" w:eastAsia="zh-CN" w:bidi="zh-CN"/>
        </w:rPr>
        <w:t>2.13-</w:t>
      </w:r>
      <w:r>
        <w:rPr>
          <w:rFonts w:hint="eastAsia" w:ascii="Times New Roman" w:hAnsi="Times New Roman" w:cs="Times New Roman"/>
          <w:b w:val="0"/>
          <w:bCs w:val="0"/>
          <w:sz w:val="24"/>
          <w:szCs w:val="24"/>
          <w:highlight w:val="none"/>
          <w:lang w:val="en-US" w:eastAsia="zh-CN" w:bidi="zh-CN"/>
        </w:rPr>
        <w:t>3</w:t>
      </w:r>
      <w:r>
        <w:rPr>
          <w:rFonts w:hint="default" w:ascii="Times New Roman" w:hAnsi="Times New Roman" w:cs="Times New Roman"/>
          <w:b w:val="0"/>
          <w:bCs w:val="0"/>
          <w:sz w:val="24"/>
          <w:szCs w:val="24"/>
          <w:highlight w:val="none"/>
          <w:lang w:val="en-US" w:eastAsia="zh-CN" w:bidi="zh-CN"/>
        </w:rPr>
        <w:t>。</w:t>
      </w:r>
    </w:p>
    <w:p>
      <w:pPr>
        <w:numPr>
          <w:ilvl w:val="0"/>
          <w:numId w:val="0"/>
        </w:numPr>
        <w:tabs>
          <w:tab w:val="left" w:pos="0"/>
        </w:tabs>
        <w:autoSpaceDE w:val="0"/>
        <w:autoSpaceDN w:val="0"/>
        <w:adjustRightInd w:val="0"/>
        <w:ind w:right="0" w:rightChars="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表2.13-</w:t>
      </w:r>
      <w:r>
        <w:rPr>
          <w:rFonts w:hint="eastAsia" w:ascii="Times New Roman" w:hAnsi="Times New Roman" w:cs="Times New Roman"/>
          <w:b/>
          <w:bCs/>
          <w:kern w:val="0"/>
          <w:sz w:val="21"/>
          <w:szCs w:val="21"/>
          <w:highlight w:val="none"/>
          <w:lang w:val="en-US" w:eastAsia="zh-CN"/>
        </w:rPr>
        <w:t>2</w:t>
      </w:r>
      <w:r>
        <w:rPr>
          <w:rFonts w:hint="default" w:ascii="Times New Roman" w:hAnsi="Times New Roman" w:cs="Times New Roman"/>
          <w:b/>
          <w:bCs/>
          <w:kern w:val="0"/>
          <w:sz w:val="21"/>
          <w:szCs w:val="21"/>
          <w:highlight w:val="none"/>
          <w:lang w:val="en-US" w:eastAsia="zh-CN"/>
        </w:rPr>
        <w:t xml:space="preserve"> 施工期环境影响因素分析表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769"/>
        <w:gridCol w:w="1328"/>
        <w:gridCol w:w="4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环境因素</w:t>
            </w:r>
          </w:p>
        </w:tc>
        <w:tc>
          <w:tcPr>
            <w:tcW w:w="1550"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主要影响因素</w:t>
            </w:r>
          </w:p>
        </w:tc>
        <w:tc>
          <w:tcPr>
            <w:tcW w:w="1163"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影响性质</w:t>
            </w:r>
          </w:p>
        </w:tc>
        <w:tc>
          <w:tcPr>
            <w:tcW w:w="4141"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环境影响简析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声环境</w:t>
            </w:r>
          </w:p>
        </w:tc>
        <w:tc>
          <w:tcPr>
            <w:tcW w:w="1550" w:type="dxa"/>
            <w:vAlign w:val="center"/>
          </w:tcPr>
          <w:p>
            <w:pPr>
              <w:pStyle w:val="16"/>
              <w:keepNext w:val="0"/>
              <w:keepLines w:val="0"/>
              <w:widowControl/>
              <w:suppressLineNumbers w:val="0"/>
              <w:spacing w:before="0" w:beforeAutospacing="0" w:after="0" w:afterAutospacing="0"/>
              <w:ind w:left="0" w:right="0" w:firstLine="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施工机械噪声及运输车辆噪声</w:t>
            </w:r>
          </w:p>
        </w:tc>
        <w:tc>
          <w:tcPr>
            <w:tcW w:w="1163" w:type="dxa"/>
            <w:vAlign w:val="center"/>
          </w:tcPr>
          <w:p>
            <w:pPr>
              <w:pStyle w:val="16"/>
              <w:keepNext w:val="0"/>
              <w:keepLines w:val="0"/>
              <w:widowControl/>
              <w:suppressLineNumbers w:val="0"/>
              <w:spacing w:before="0" w:beforeAutospacing="0" w:after="0" w:afterAutospacing="0"/>
              <w:ind w:left="0" w:right="0" w:firstLine="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短期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tc>
        <w:tc>
          <w:tcPr>
            <w:tcW w:w="4141" w:type="dxa"/>
            <w:vAlign w:val="center"/>
          </w:tcPr>
          <w:p>
            <w:pPr>
              <w:pStyle w:val="16"/>
              <w:keepNext w:val="0"/>
              <w:keepLines w:val="0"/>
              <w:widowControl/>
              <w:numPr>
                <w:ilvl w:val="0"/>
                <w:numId w:val="0"/>
              </w:numPr>
              <w:suppressLineNumbers w:val="0"/>
              <w:spacing w:before="0" w:beforeAutospacing="0" w:after="0" w:afterAutospacing="0"/>
              <w:ind w:leftChars="0"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1</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工程施工中机械较多，施工机械噪声对周围声环境产生一定影响</w:t>
            </w:r>
            <w:r>
              <w:rPr>
                <w:rFonts w:hint="default" w:ascii="Times New Roman" w:hAnsi="Times New Roman" w:cs="Times New Roman"/>
                <w:b w:val="0"/>
                <w:bCs w:val="0"/>
                <w:kern w:val="0"/>
                <w:sz w:val="21"/>
                <w:szCs w:val="21"/>
                <w:highlight w:val="none"/>
                <w:vertAlign w:val="baseline"/>
                <w:lang w:val="en-US" w:eastAsia="zh-CN" w:bidi="zh-CN"/>
              </w:rPr>
              <w:t>；</w:t>
            </w:r>
          </w:p>
          <w:p>
            <w:pPr>
              <w:pStyle w:val="16"/>
              <w:keepNext w:val="0"/>
              <w:keepLines w:val="0"/>
              <w:widowControl/>
              <w:numPr>
                <w:ilvl w:val="0"/>
                <w:numId w:val="0"/>
              </w:numPr>
              <w:suppressLineNumbers w:val="0"/>
              <w:spacing w:before="0" w:beforeAutospacing="0" w:after="0" w:afterAutospacing="0"/>
              <w:ind w:leftChars="0" w:right="0" w:rightChars="0"/>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拟建工程几乎所有的筑路材料将通过汽车运输，其交通噪声将影响沿线声环境。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环境空气</w:t>
            </w:r>
          </w:p>
        </w:tc>
        <w:tc>
          <w:tcPr>
            <w:tcW w:w="1550"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扬尘及沥青烟气</w:t>
            </w:r>
          </w:p>
        </w:tc>
        <w:tc>
          <w:tcPr>
            <w:tcW w:w="1163"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短期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tc>
        <w:tc>
          <w:tcPr>
            <w:tcW w:w="4141" w:type="dxa"/>
            <w:vAlign w:val="center"/>
          </w:tcPr>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1</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粉状物料的运输</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装卸</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堆放</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拌合等过程中有大量粉尘散逸到周围大气中；施工运输车辆在施工便道上行驶导致的扬尘；</w:t>
            </w:r>
          </w:p>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路面铺设过程中产生沥青烟。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水环境</w:t>
            </w:r>
          </w:p>
        </w:tc>
        <w:tc>
          <w:tcPr>
            <w:tcW w:w="1550" w:type="dxa"/>
            <w:vAlign w:val="center"/>
          </w:tcPr>
          <w:p>
            <w:pPr>
              <w:pStyle w:val="16"/>
              <w:keepNext w:val="0"/>
              <w:keepLines w:val="0"/>
              <w:widowControl/>
              <w:suppressLineNumbers w:val="0"/>
              <w:spacing w:before="0" w:beforeAutospacing="0" w:after="0" w:afterAutospacing="0"/>
              <w:ind w:left="0" w:right="0" w:firstLine="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施工生活及生产废水</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固体废物</w:t>
            </w:r>
          </w:p>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p>
        </w:tc>
        <w:tc>
          <w:tcPr>
            <w:tcW w:w="1163" w:type="dxa"/>
            <w:vAlign w:val="center"/>
          </w:tcPr>
          <w:p>
            <w:pPr>
              <w:pStyle w:val="16"/>
              <w:keepNext w:val="0"/>
              <w:keepLines w:val="0"/>
              <w:widowControl/>
              <w:suppressLineNumbers w:val="0"/>
              <w:spacing w:before="0" w:beforeAutospacing="0" w:after="0" w:afterAutospacing="0"/>
              <w:ind w:left="0" w:right="0" w:firstLine="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短期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p>
        </w:tc>
        <w:tc>
          <w:tcPr>
            <w:tcW w:w="4141" w:type="dxa"/>
            <w:vAlign w:val="center"/>
          </w:tcPr>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1</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桥梁建设施工工艺不当或施工管理不强，产生的施工弃渣</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机械油污</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泥浆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施工物料等受雨水冲刷入河等情况将影响水质；</w:t>
            </w:r>
          </w:p>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施工营地的生活污水；</w:t>
            </w:r>
          </w:p>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3</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拟建工程将对沿线水系水体有一定的影响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生态</w:t>
            </w:r>
          </w:p>
        </w:tc>
        <w:tc>
          <w:tcPr>
            <w:tcW w:w="1550"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永久占地</w:t>
            </w:r>
          </w:p>
        </w:tc>
        <w:tc>
          <w:tcPr>
            <w:tcW w:w="1163"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长期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tc>
        <w:tc>
          <w:tcPr>
            <w:tcW w:w="4141" w:type="dxa"/>
            <w:vMerge w:val="restart"/>
            <w:vAlign w:val="center"/>
          </w:tcPr>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1</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工程建设对植被的直接破坏，施工活动对区域内野生动物的干扰；</w:t>
            </w:r>
          </w:p>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工程永久和临时用地占压当地的耕地</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林地，公路的施工管理不当，对当地的农业生态造成影响；</w:t>
            </w:r>
          </w:p>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3</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工程将增加区域的水土流失量，破坏当地的自然景观。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kinsoku w:val="0"/>
              <w:overflowPunct w:val="0"/>
              <w:autoSpaceDE w:val="0"/>
              <w:autoSpaceDN w:val="0"/>
              <w:adjustRightInd w:val="0"/>
              <w:spacing w:line="240" w:lineRule="auto"/>
              <w:jc w:val="center"/>
              <w:rPr>
                <w:rFonts w:hint="default" w:ascii="Times New Roman" w:hAnsi="Times New Roman" w:cs="Times New Roman"/>
                <w:b w:val="0"/>
                <w:bCs w:val="0"/>
                <w:sz w:val="21"/>
                <w:szCs w:val="21"/>
                <w:highlight w:val="none"/>
                <w:vertAlign w:val="baseline"/>
                <w:lang w:val="en-US" w:eastAsia="zh-CN" w:bidi="zh-CN"/>
              </w:rPr>
            </w:pPr>
          </w:p>
        </w:tc>
        <w:tc>
          <w:tcPr>
            <w:tcW w:w="1550"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临时占地</w:t>
            </w:r>
          </w:p>
        </w:tc>
        <w:tc>
          <w:tcPr>
            <w:tcW w:w="1163"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短期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tc>
        <w:tc>
          <w:tcPr>
            <w:tcW w:w="4141" w:type="dxa"/>
            <w:vMerge w:val="continue"/>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kinsoku w:val="0"/>
              <w:overflowPunct w:val="0"/>
              <w:autoSpaceDE w:val="0"/>
              <w:autoSpaceDN w:val="0"/>
              <w:adjustRightInd w:val="0"/>
              <w:spacing w:line="240" w:lineRule="auto"/>
              <w:jc w:val="center"/>
              <w:rPr>
                <w:rFonts w:hint="default" w:ascii="Times New Roman" w:hAnsi="Times New Roman" w:cs="Times New Roman"/>
                <w:b w:val="0"/>
                <w:bCs w:val="0"/>
                <w:sz w:val="21"/>
                <w:szCs w:val="21"/>
                <w:highlight w:val="none"/>
                <w:vertAlign w:val="baseline"/>
                <w:lang w:val="en-US" w:eastAsia="zh-CN" w:bidi="zh-CN"/>
              </w:rPr>
            </w:pPr>
          </w:p>
        </w:tc>
        <w:tc>
          <w:tcPr>
            <w:tcW w:w="1550"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水土流失</w:t>
            </w:r>
          </w:p>
        </w:tc>
        <w:tc>
          <w:tcPr>
            <w:tcW w:w="1163"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短期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tc>
        <w:tc>
          <w:tcPr>
            <w:tcW w:w="4141" w:type="dxa"/>
            <w:vMerge w:val="continue"/>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p>
        </w:tc>
      </w:tr>
    </w:tbl>
    <w:p>
      <w:pPr>
        <w:numPr>
          <w:ilvl w:val="0"/>
          <w:numId w:val="0"/>
        </w:numPr>
        <w:tabs>
          <w:tab w:val="left" w:pos="0"/>
        </w:tabs>
        <w:autoSpaceDE w:val="0"/>
        <w:autoSpaceDN w:val="0"/>
        <w:adjustRightInd w:val="0"/>
        <w:ind w:right="0" w:rightChars="0"/>
        <w:jc w:val="center"/>
        <w:rPr>
          <w:rFonts w:hint="default" w:ascii="Times New Roman" w:hAnsi="Times New Roman" w:cs="Times New Roman"/>
          <w:b/>
          <w:bCs/>
          <w:kern w:val="0"/>
          <w:sz w:val="21"/>
          <w:szCs w:val="21"/>
          <w:highlight w:val="none"/>
          <w:lang w:val="en-US" w:eastAsia="zh-CN"/>
        </w:rPr>
      </w:pPr>
    </w:p>
    <w:p>
      <w:pPr>
        <w:numPr>
          <w:ilvl w:val="0"/>
          <w:numId w:val="0"/>
        </w:numPr>
        <w:tabs>
          <w:tab w:val="left" w:pos="0"/>
        </w:tabs>
        <w:autoSpaceDE w:val="0"/>
        <w:autoSpaceDN w:val="0"/>
        <w:adjustRightInd w:val="0"/>
        <w:ind w:right="0" w:rightChars="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表2.13-</w:t>
      </w:r>
      <w:r>
        <w:rPr>
          <w:rFonts w:hint="eastAsia" w:ascii="Times New Roman" w:hAnsi="Times New Roman" w:cs="Times New Roman"/>
          <w:b/>
          <w:bCs/>
          <w:kern w:val="0"/>
          <w:sz w:val="21"/>
          <w:szCs w:val="21"/>
          <w:highlight w:val="none"/>
          <w:lang w:val="en-US" w:eastAsia="zh-CN"/>
        </w:rPr>
        <w:t>3</w:t>
      </w:r>
      <w:r>
        <w:rPr>
          <w:rFonts w:hint="default" w:ascii="Times New Roman" w:hAnsi="Times New Roman" w:cs="Times New Roman"/>
          <w:b/>
          <w:bCs/>
          <w:kern w:val="0"/>
          <w:sz w:val="21"/>
          <w:szCs w:val="21"/>
          <w:highlight w:val="none"/>
          <w:lang w:val="en-US" w:eastAsia="zh-CN"/>
        </w:rPr>
        <w:t xml:space="preserve"> 运营期环境影响因素分析表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769"/>
        <w:gridCol w:w="1328"/>
        <w:gridCol w:w="4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环境因素</w:t>
            </w:r>
          </w:p>
        </w:tc>
        <w:tc>
          <w:tcPr>
            <w:tcW w:w="1550"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主要影响因素</w:t>
            </w:r>
          </w:p>
        </w:tc>
        <w:tc>
          <w:tcPr>
            <w:tcW w:w="1163"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影响性质</w:t>
            </w:r>
          </w:p>
        </w:tc>
        <w:tc>
          <w:tcPr>
            <w:tcW w:w="4141"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环境影响简析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声环境</w:t>
            </w:r>
          </w:p>
        </w:tc>
        <w:tc>
          <w:tcPr>
            <w:tcW w:w="1550" w:type="dxa"/>
            <w:vAlign w:val="center"/>
          </w:tcPr>
          <w:p>
            <w:pPr>
              <w:pStyle w:val="16"/>
              <w:keepNext w:val="0"/>
              <w:keepLines w:val="0"/>
              <w:widowControl/>
              <w:suppressLineNumbers w:val="0"/>
              <w:spacing w:before="0" w:beforeAutospacing="0" w:after="0" w:afterAutospacing="0"/>
              <w:ind w:left="0" w:right="0" w:firstLine="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交通噪声</w:t>
            </w:r>
          </w:p>
        </w:tc>
        <w:tc>
          <w:tcPr>
            <w:tcW w:w="1163" w:type="dxa"/>
            <w:vAlign w:val="center"/>
          </w:tcPr>
          <w:p>
            <w:pPr>
              <w:pStyle w:val="16"/>
              <w:keepNext w:val="0"/>
              <w:keepLines w:val="0"/>
              <w:widowControl/>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长期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不</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tc>
        <w:tc>
          <w:tcPr>
            <w:tcW w:w="4141" w:type="dxa"/>
            <w:vAlign w:val="center"/>
          </w:tcPr>
          <w:p>
            <w:pPr>
              <w:pStyle w:val="16"/>
              <w:keepNext w:val="0"/>
              <w:keepLines w:val="0"/>
              <w:widowControl/>
              <w:suppressLineNumbers w:val="0"/>
              <w:spacing w:before="0" w:beforeAutospacing="0" w:after="0" w:afterAutospacing="0"/>
              <w:ind w:left="0" w:right="0" w:firstLine="0"/>
              <w:rPr>
                <w:rFonts w:hint="default" w:ascii="Times New Roman" w:hAnsi="Times New Roman" w:cs="Times New Roman"/>
                <w:sz w:val="21"/>
                <w:szCs w:val="21"/>
              </w:rPr>
            </w:pPr>
            <w:r>
              <w:rPr>
                <w:rFonts w:hint="default" w:ascii="Times New Roman" w:hAnsi="Times New Roman" w:cs="Times New Roman"/>
                <w:sz w:val="21"/>
                <w:szCs w:val="21"/>
              </w:rPr>
              <w:t>交通噪声将会对沿线居民区产生噪声影响，影响人群健康，干扰正常的生产和生活。</w:t>
            </w:r>
          </w:p>
          <w:p>
            <w:pPr>
              <w:pStyle w:val="16"/>
              <w:keepNext w:val="0"/>
              <w:keepLines w:val="0"/>
              <w:widowControl/>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42" w:type="dxa"/>
            <w:vMerge w:val="restart"/>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环境空气</w:t>
            </w:r>
          </w:p>
        </w:tc>
        <w:tc>
          <w:tcPr>
            <w:tcW w:w="1550"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汽车尾气</w:t>
            </w:r>
          </w:p>
        </w:tc>
        <w:tc>
          <w:tcPr>
            <w:tcW w:w="1163" w:type="dxa"/>
            <w:vMerge w:val="restart"/>
            <w:vAlign w:val="center"/>
          </w:tcPr>
          <w:p>
            <w:pPr>
              <w:kinsoku w:val="0"/>
              <w:overflowPunct w:val="0"/>
              <w:autoSpaceDE w:val="0"/>
              <w:autoSpaceDN w:val="0"/>
              <w:adjustRightInd w:val="0"/>
              <w:spacing w:line="240" w:lineRule="auto"/>
              <w:ind w:left="0" w:leftChars="0" w:right="0" w:rightChars="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长期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不</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tc>
        <w:tc>
          <w:tcPr>
            <w:tcW w:w="4141" w:type="dxa"/>
            <w:vMerge w:val="restart"/>
            <w:vAlign w:val="center"/>
          </w:tcPr>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1</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汽车尾气中 NO2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CO排放量较大，是汽车尾气影响工程沿线环境空气质量的主要因子。</w:t>
            </w:r>
          </w:p>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工程运营后路况变好，通过加强绿化工程设计，缓解交通尾气对沿线环境空气质量的影响。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42" w:type="dxa"/>
            <w:vMerge w:val="continue"/>
            <w:vAlign w:val="center"/>
          </w:tcPr>
          <w:p>
            <w:pPr>
              <w:kinsoku w:val="0"/>
              <w:overflowPunct w:val="0"/>
              <w:autoSpaceDE w:val="0"/>
              <w:autoSpaceDN w:val="0"/>
              <w:adjustRightInd w:val="0"/>
              <w:spacing w:line="240" w:lineRule="auto"/>
              <w:jc w:val="left"/>
              <w:rPr>
                <w:rFonts w:hint="default" w:ascii="Times New Roman" w:hAnsi="Times New Roman" w:cs="Times New Roman"/>
                <w:sz w:val="21"/>
                <w:szCs w:val="21"/>
              </w:rPr>
            </w:pPr>
          </w:p>
        </w:tc>
        <w:tc>
          <w:tcPr>
            <w:tcW w:w="1550" w:type="dxa"/>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路面扬尘</w:t>
            </w:r>
          </w:p>
        </w:tc>
        <w:tc>
          <w:tcPr>
            <w:tcW w:w="1163" w:type="dxa"/>
            <w:vMerge w:val="continue"/>
            <w:vAlign w:val="center"/>
          </w:tcPr>
          <w:p>
            <w:pPr>
              <w:kinsoku w:val="0"/>
              <w:overflowPunct w:val="0"/>
              <w:autoSpaceDE w:val="0"/>
              <w:autoSpaceDN w:val="0"/>
              <w:adjustRightInd w:val="0"/>
              <w:spacing w:line="240" w:lineRule="auto"/>
              <w:jc w:val="left"/>
              <w:rPr>
                <w:rFonts w:hint="default" w:ascii="Times New Roman" w:hAnsi="Times New Roman" w:eastAsia="宋体" w:cs="Times New Roman"/>
                <w:b w:val="0"/>
                <w:bCs w:val="0"/>
                <w:kern w:val="0"/>
                <w:sz w:val="21"/>
                <w:szCs w:val="21"/>
                <w:highlight w:val="none"/>
                <w:vertAlign w:val="baseline"/>
                <w:lang w:val="en-US" w:eastAsia="zh-CN" w:bidi="zh-CN"/>
              </w:rPr>
            </w:pPr>
          </w:p>
        </w:tc>
        <w:tc>
          <w:tcPr>
            <w:tcW w:w="4141" w:type="dxa"/>
            <w:vMerge w:val="continue"/>
            <w:vAlign w:val="center"/>
          </w:tcPr>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水环境</w:t>
            </w:r>
          </w:p>
        </w:tc>
        <w:tc>
          <w:tcPr>
            <w:tcW w:w="1550" w:type="dxa"/>
            <w:vAlign w:val="center"/>
          </w:tcPr>
          <w:p>
            <w:pPr>
              <w:pStyle w:val="16"/>
              <w:keepNext w:val="0"/>
              <w:keepLines w:val="0"/>
              <w:widowControl/>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路面径流</w:t>
            </w:r>
          </w:p>
        </w:tc>
        <w:tc>
          <w:tcPr>
            <w:tcW w:w="1163" w:type="dxa"/>
            <w:vMerge w:val="restart"/>
            <w:vAlign w:val="center"/>
          </w:tcPr>
          <w:p>
            <w:pPr>
              <w:pStyle w:val="16"/>
              <w:keepNext w:val="0"/>
              <w:keepLines w:val="0"/>
              <w:widowControl/>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长期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不</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tc>
        <w:tc>
          <w:tcPr>
            <w:tcW w:w="4141" w:type="dxa"/>
            <w:vMerge w:val="restart"/>
            <w:vAlign w:val="center"/>
          </w:tcPr>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1</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降雨冲刷路面产生的道路径流排入河流造成水体污染；</w:t>
            </w:r>
          </w:p>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工程桥梁跨越的河流路段一旦环境风险事故发生后，将产生严重的水污染；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kinsoku w:val="0"/>
              <w:overflowPunct w:val="0"/>
              <w:autoSpaceDE w:val="0"/>
              <w:autoSpaceDN w:val="0"/>
              <w:adjustRightInd w:val="0"/>
              <w:spacing w:line="240" w:lineRule="auto"/>
              <w:jc w:val="center"/>
              <w:rPr>
                <w:rFonts w:hint="default" w:ascii="Times New Roman" w:hAnsi="Times New Roman" w:cs="Times New Roman"/>
                <w:b w:val="0"/>
                <w:bCs w:val="0"/>
                <w:sz w:val="21"/>
                <w:szCs w:val="21"/>
                <w:highlight w:val="none"/>
                <w:vertAlign w:val="baseline"/>
                <w:lang w:val="en-US" w:eastAsia="zh-CN" w:bidi="zh-CN"/>
              </w:rPr>
            </w:pPr>
          </w:p>
        </w:tc>
        <w:tc>
          <w:tcPr>
            <w:tcW w:w="1550" w:type="dxa"/>
            <w:vAlign w:val="center"/>
          </w:tcPr>
          <w:p>
            <w:pPr>
              <w:pStyle w:val="16"/>
              <w:keepNext w:val="0"/>
              <w:keepLines w:val="0"/>
              <w:widowControl/>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危险品运输</w:t>
            </w:r>
          </w:p>
        </w:tc>
        <w:tc>
          <w:tcPr>
            <w:tcW w:w="1163" w:type="dxa"/>
            <w:vMerge w:val="continue"/>
            <w:vAlign w:val="center"/>
          </w:tcPr>
          <w:p>
            <w:pPr>
              <w:pStyle w:val="16"/>
              <w:keepNext w:val="0"/>
              <w:keepLines w:val="0"/>
              <w:widowControl/>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highlight w:val="none"/>
                <w:vertAlign w:val="baseline"/>
                <w:lang w:val="en-US" w:eastAsia="zh-CN" w:bidi="zh-CN"/>
              </w:rPr>
            </w:pPr>
          </w:p>
        </w:tc>
        <w:tc>
          <w:tcPr>
            <w:tcW w:w="4141" w:type="dxa"/>
            <w:vMerge w:val="continue"/>
            <w:vAlign w:val="center"/>
          </w:tcPr>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kinsoku w:val="0"/>
              <w:overflowPunct w:val="0"/>
              <w:autoSpaceDE w:val="0"/>
              <w:autoSpaceDN w:val="0"/>
              <w:adjustRightInd w:val="0"/>
              <w:spacing w:line="240" w:lineRule="auto"/>
              <w:jc w:val="center"/>
              <w:rPr>
                <w:rFonts w:hint="default" w:ascii="Times New Roman" w:hAnsi="Times New Roman" w:cs="Times New Roman"/>
                <w:b w:val="0"/>
                <w:bCs w:val="0"/>
                <w:sz w:val="21"/>
                <w:szCs w:val="21"/>
                <w:highlight w:val="none"/>
                <w:vertAlign w:val="baseline"/>
                <w:lang w:val="en-US" w:eastAsia="zh-CN" w:bidi="zh-CN"/>
              </w:rPr>
            </w:pPr>
            <w:r>
              <w:rPr>
                <w:rFonts w:hint="default" w:ascii="Times New Roman" w:hAnsi="Times New Roman" w:cs="Times New Roman"/>
                <w:b w:val="0"/>
                <w:bCs w:val="0"/>
                <w:sz w:val="21"/>
                <w:szCs w:val="21"/>
                <w:highlight w:val="none"/>
                <w:vertAlign w:val="baseline"/>
                <w:lang w:val="en-US" w:eastAsia="zh-CN" w:bidi="zh-CN"/>
              </w:rPr>
              <w:t>生态</w:t>
            </w:r>
          </w:p>
        </w:tc>
        <w:tc>
          <w:tcPr>
            <w:tcW w:w="1550" w:type="dxa"/>
            <w:vAlign w:val="center"/>
          </w:tcPr>
          <w:p>
            <w:pPr>
              <w:pStyle w:val="16"/>
              <w:keepNext w:val="0"/>
              <w:keepLines w:val="0"/>
              <w:widowControl/>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永久占地</w:t>
            </w:r>
          </w:p>
        </w:tc>
        <w:tc>
          <w:tcPr>
            <w:tcW w:w="1163" w:type="dxa"/>
            <w:vAlign w:val="center"/>
          </w:tcPr>
          <w:p>
            <w:pPr>
              <w:pStyle w:val="16"/>
              <w:keepNext w:val="0"/>
              <w:keepLines w:val="0"/>
              <w:widowControl/>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长期</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不</w:t>
            </w:r>
            <w:r>
              <w:rPr>
                <w:rFonts w:hint="default" w:ascii="Times New Roman" w:hAnsi="Times New Roman" w:eastAsia="宋体" w:cs="Times New Roman"/>
                <w:b w:val="0"/>
                <w:bCs w:val="0"/>
                <w:kern w:val="0"/>
                <w:sz w:val="21"/>
                <w:szCs w:val="21"/>
                <w:highlight w:val="none"/>
                <w:vertAlign w:val="baseline"/>
                <w:lang w:val="en-US" w:eastAsia="zh-CN" w:bidi="zh-CN"/>
              </w:rPr>
              <w:t>可逆</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不利</w:t>
            </w:r>
          </w:p>
        </w:tc>
        <w:tc>
          <w:tcPr>
            <w:tcW w:w="4141" w:type="dxa"/>
            <w:vAlign w:val="center"/>
          </w:tcPr>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1</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农业生态产生一定影响；</w:t>
            </w:r>
          </w:p>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对动物阻隔影响小；</w:t>
            </w:r>
          </w:p>
          <w:p>
            <w:pPr>
              <w:pStyle w:val="16"/>
              <w:keepNext w:val="0"/>
              <w:keepLines w:val="0"/>
              <w:widowControl/>
              <w:numPr>
                <w:ilvl w:val="0"/>
                <w:numId w:val="0"/>
              </w:numPr>
              <w:suppressLineNumbers w:val="0"/>
              <w:spacing w:before="0" w:beforeAutospacing="0" w:after="0" w:afterAutospacing="0"/>
              <w:ind w:right="0" w:rightChars="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3</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kern w:val="0"/>
                <w:sz w:val="21"/>
                <w:szCs w:val="21"/>
                <w:highlight w:val="none"/>
                <w:vertAlign w:val="baseline"/>
                <w:lang w:val="en-US" w:eastAsia="zh-CN" w:bidi="zh-CN"/>
              </w:rPr>
              <w:t>绿化将会减缓工程建设对生态影响程度；</w:t>
            </w:r>
          </w:p>
        </w:tc>
      </w:tr>
    </w:tbl>
    <w:p>
      <w:pPr>
        <w:bidi w:val="0"/>
        <w:rPr>
          <w:rFonts w:hint="default"/>
          <w:lang w:val="en-US" w:eastAsia="zh-CN"/>
        </w:rPr>
      </w:pP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2.13.2.评价因子筛选</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根据拟建工程对各环境影响因素的分析，环境影响因子的矩阵识别见表2.13-</w:t>
      </w:r>
      <w:r>
        <w:rPr>
          <w:rFonts w:hint="eastAsia" w:ascii="Times New Roman" w:hAnsi="Times New Roman" w:cs="Times New Roman"/>
          <w:b w:val="0"/>
          <w:bCs w:val="0"/>
          <w:sz w:val="24"/>
          <w:szCs w:val="24"/>
          <w:highlight w:val="none"/>
          <w:lang w:val="en-US" w:eastAsia="zh-CN" w:bidi="zh-CN"/>
        </w:rPr>
        <w:t>4</w:t>
      </w:r>
      <w:r>
        <w:rPr>
          <w:rFonts w:hint="default" w:ascii="Times New Roman" w:hAnsi="Times New Roman" w:cs="Times New Roman"/>
          <w:b w:val="0"/>
          <w:bCs w:val="0"/>
          <w:sz w:val="24"/>
          <w:szCs w:val="24"/>
          <w:highlight w:val="none"/>
          <w:lang w:val="en-US" w:eastAsia="zh-CN" w:bidi="zh-CN"/>
        </w:rPr>
        <w:t>，确定各环境要素对应评价内容及评价因子筛选结果见表2.13-</w:t>
      </w:r>
      <w:r>
        <w:rPr>
          <w:rFonts w:hint="eastAsia" w:ascii="Times New Roman" w:hAnsi="Times New Roman" w:cs="Times New Roman"/>
          <w:b w:val="0"/>
          <w:bCs w:val="0"/>
          <w:sz w:val="24"/>
          <w:szCs w:val="24"/>
          <w:highlight w:val="none"/>
          <w:lang w:val="en-US" w:eastAsia="zh-CN" w:bidi="zh-CN"/>
        </w:rPr>
        <w:t>5</w:t>
      </w:r>
      <w:r>
        <w:rPr>
          <w:rFonts w:hint="default" w:ascii="Times New Roman" w:hAnsi="Times New Roman" w:cs="Times New Roman"/>
          <w:b w:val="0"/>
          <w:bCs w:val="0"/>
          <w:sz w:val="24"/>
          <w:szCs w:val="24"/>
          <w:highlight w:val="none"/>
          <w:lang w:val="en-US" w:eastAsia="zh-CN" w:bidi="zh-CN"/>
        </w:rPr>
        <w:t>。</w:t>
      </w:r>
    </w:p>
    <w:p>
      <w:pPr>
        <w:numPr>
          <w:ilvl w:val="0"/>
          <w:numId w:val="0"/>
        </w:numPr>
        <w:tabs>
          <w:tab w:val="left" w:pos="0"/>
        </w:tabs>
        <w:autoSpaceDE w:val="0"/>
        <w:autoSpaceDN w:val="0"/>
        <w:adjustRightInd w:val="0"/>
        <w:ind w:right="0" w:rightChars="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表2.13-</w:t>
      </w:r>
      <w:r>
        <w:rPr>
          <w:rFonts w:hint="eastAsia" w:ascii="Times New Roman" w:hAnsi="Times New Roman" w:cs="Times New Roman"/>
          <w:b/>
          <w:bCs/>
          <w:kern w:val="0"/>
          <w:sz w:val="21"/>
          <w:szCs w:val="21"/>
          <w:highlight w:val="none"/>
          <w:lang w:val="en-US" w:eastAsia="zh-CN"/>
        </w:rPr>
        <w:t>4</w:t>
      </w:r>
      <w:r>
        <w:rPr>
          <w:rFonts w:hint="default" w:ascii="Times New Roman" w:hAnsi="Times New Roman" w:cs="Times New Roman"/>
          <w:b/>
          <w:bCs/>
          <w:kern w:val="0"/>
          <w:sz w:val="21"/>
          <w:szCs w:val="21"/>
          <w:highlight w:val="none"/>
          <w:lang w:val="en-US" w:eastAsia="zh-CN"/>
        </w:rPr>
        <w:t xml:space="preserve"> 环境影响因子的矩阵识别</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908"/>
        <w:gridCol w:w="827"/>
        <w:gridCol w:w="904"/>
        <w:gridCol w:w="885"/>
        <w:gridCol w:w="1019"/>
        <w:gridCol w:w="909"/>
        <w:gridCol w:w="909"/>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728" w:type="dxa"/>
            <w:vMerge w:val="restart"/>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right"/>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-70485</wp:posOffset>
                      </wp:positionH>
                      <wp:positionV relativeFrom="paragraph">
                        <wp:posOffset>-1270</wp:posOffset>
                      </wp:positionV>
                      <wp:extent cx="1245870" cy="737870"/>
                      <wp:effectExtent l="2540" t="3810" r="8890" b="20320"/>
                      <wp:wrapNone/>
                      <wp:docPr id="16" name="直接连接符 16"/>
                      <wp:cNvGraphicFramePr/>
                      <a:graphic xmlns:a="http://schemas.openxmlformats.org/drawingml/2006/main">
                        <a:graphicData uri="http://schemas.microsoft.com/office/word/2010/wordprocessingShape">
                          <wps:wsp>
                            <wps:cNvCnPr/>
                            <wps:spPr>
                              <a:xfrm>
                                <a:off x="1205865" y="918845"/>
                                <a:ext cx="1245870" cy="7378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55pt;margin-top:-0.1pt;height:58.1pt;width:98.1pt;z-index:251662336;mso-width-relative:page;mso-height-relative:page;" filled="f" stroked="t" coordsize="21600,21600" o:gfxdata="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7rP01gAAAAkBAAAPAAAAAAAAAAEAIAAAACIAAABkcnMvZG93bnJldi54bWxQ&#10;SwECFAAUAAAACACHTuJAf+xndvkBAADDAwAADgAAAAAAAAABACAAAAAlAQAAZHJzL2Uyb0RvYy54&#10;bWxQSwUGAAAAAAYABgBZAQAAkAUAAAAA&#10;">
                      <v:fill on="f" focussize="0,0"/>
                      <v:stroke weight="0.5pt" color="#5B9BD5 [3204]" miterlimit="8" joinstyle="miter"/>
                      <v:imagedata o:title=""/>
                      <o:lock v:ext="edit" aspectratio="f"/>
                    </v:line>
                  </w:pict>
                </mc:Fallback>
              </mc:AlternateContent>
            </w:r>
            <w:r>
              <w:rPr>
                <w:rFonts w:hint="default" w:ascii="Times New Roman" w:hAnsi="Times New Roman" w:eastAsia="宋体" w:cs="Times New Roman"/>
                <w:b w:val="0"/>
                <w:bCs w:val="0"/>
                <w:kern w:val="0"/>
                <w:sz w:val="21"/>
                <w:szCs w:val="21"/>
                <w:highlight w:val="none"/>
                <w:vertAlign w:val="baseline"/>
                <w:lang w:val="en-US" w:eastAsia="zh-CN" w:bidi="zh-CN"/>
              </w:rPr>
              <w:t>工程项目</w:t>
            </w:r>
          </w:p>
          <w:p>
            <w:pPr>
              <w:pStyle w:val="6"/>
              <w:keepNext/>
              <w:keepLines/>
              <w:pageBreakBefore w:val="0"/>
              <w:widowControl w:val="0"/>
              <w:kinsoku/>
              <w:wordWrap/>
              <w:overflowPunct/>
              <w:topLinePunct w:val="0"/>
              <w:autoSpaceDE w:val="0"/>
              <w:autoSpaceDN w:val="0"/>
              <w:bidi w:val="0"/>
              <w:adjustRightInd/>
              <w:snapToGrid/>
              <w:spacing w:before="438" w:beforeLines="140" w:after="0" w:line="240" w:lineRule="auto"/>
              <w:jc w:val="left"/>
              <w:textAlignment w:val="auto"/>
              <w:rPr>
                <w:rFonts w:hint="default" w:ascii="Times New Roman" w:hAnsi="Times New Roman" w:cs="Times New Roman"/>
                <w:lang w:val="en-US" w:eastAsia="zh-CN"/>
              </w:rPr>
            </w:pPr>
            <w:r>
              <w:rPr>
                <w:rFonts w:hint="default" w:ascii="Times New Roman" w:hAnsi="Times New Roman" w:eastAsia="宋体" w:cs="Times New Roman"/>
                <w:b w:val="0"/>
                <w:bCs w:val="0"/>
                <w:kern w:val="0"/>
                <w:sz w:val="21"/>
                <w:szCs w:val="21"/>
                <w:highlight w:val="none"/>
                <w:vertAlign w:val="baseline"/>
                <w:lang w:val="en-US" w:eastAsia="zh-CN" w:bidi="zh-CN"/>
              </w:rPr>
              <w:t>环境因子</w:t>
            </w:r>
          </w:p>
        </w:tc>
        <w:tc>
          <w:tcPr>
            <w:tcW w:w="3979" w:type="dxa"/>
            <w:gridSpan w:val="5"/>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项目施工</w:t>
            </w:r>
          </w:p>
        </w:tc>
        <w:tc>
          <w:tcPr>
            <w:tcW w:w="2389" w:type="dxa"/>
            <w:gridSpan w:val="3"/>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728" w:type="dxa"/>
            <w:vMerge w:val="continue"/>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9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路基工程</w:t>
            </w:r>
          </w:p>
        </w:tc>
        <w:tc>
          <w:tcPr>
            <w:tcW w:w="72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桥涵工程</w:t>
            </w:r>
          </w:p>
        </w:tc>
        <w:tc>
          <w:tcPr>
            <w:tcW w:w="7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路面工程</w:t>
            </w:r>
          </w:p>
        </w:tc>
        <w:tc>
          <w:tcPr>
            <w:tcW w:w="77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材料运输</w:t>
            </w:r>
          </w:p>
        </w:tc>
        <w:tc>
          <w:tcPr>
            <w:tcW w:w="8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施工营地便道</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交通运输</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环境风险</w:t>
            </w:r>
          </w:p>
        </w:tc>
        <w:tc>
          <w:tcPr>
            <w:tcW w:w="797"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生态恢复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野生动物</w:t>
            </w:r>
          </w:p>
        </w:tc>
        <w:tc>
          <w:tcPr>
            <w:tcW w:w="79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25"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2"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75"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892"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7"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植被</w:t>
            </w:r>
          </w:p>
        </w:tc>
        <w:tc>
          <w:tcPr>
            <w:tcW w:w="79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25"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7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8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97"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地表水环境</w:t>
            </w:r>
          </w:p>
        </w:tc>
        <w:tc>
          <w:tcPr>
            <w:tcW w:w="79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25"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7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8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7"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地下水环境</w:t>
            </w:r>
          </w:p>
        </w:tc>
        <w:tc>
          <w:tcPr>
            <w:tcW w:w="79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25"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7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8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7"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环境空气</w:t>
            </w:r>
          </w:p>
        </w:tc>
        <w:tc>
          <w:tcPr>
            <w:tcW w:w="79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25"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7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8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O</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97"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声环境</w:t>
            </w:r>
          </w:p>
        </w:tc>
        <w:tc>
          <w:tcPr>
            <w:tcW w:w="79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25"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7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8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97"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固体废物</w:t>
            </w:r>
          </w:p>
        </w:tc>
        <w:tc>
          <w:tcPr>
            <w:tcW w:w="79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25" w:type="dxa"/>
            <w:vAlign w:val="center"/>
          </w:tcPr>
          <w:p>
            <w:pPr>
              <w:keepNext/>
              <w:keepLines/>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75"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892"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w:t>
            </w:r>
          </w:p>
        </w:tc>
        <w:tc>
          <w:tcPr>
            <w:tcW w:w="796"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97" w:type="dxa"/>
            <w:vAlign w:val="center"/>
          </w:tcPr>
          <w:p>
            <w:pPr>
              <w:pStyle w:val="6"/>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default" w:ascii="Times New Roman" w:hAnsi="Times New Roman" w:eastAsia="宋体" w:cs="Times New Roman"/>
                <w:b w:val="0"/>
                <w:bCs w:val="0"/>
                <w:kern w:val="0"/>
                <w:sz w:val="21"/>
                <w:szCs w:val="21"/>
                <w:highlight w:val="none"/>
                <w:vertAlign w:val="baseline"/>
                <w:lang w:val="en-US" w:eastAsia="zh-CN" w:bidi="zh-CN"/>
              </w:rPr>
            </w:pPr>
          </w:p>
        </w:tc>
      </w:tr>
    </w:tbl>
    <w:p>
      <w:pPr>
        <w:bidi w:val="0"/>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注：负面影响：明显</w:t>
      </w:r>
      <w:r>
        <w:rPr>
          <w:rFonts w:hint="default" w:ascii="Times New Roman" w:hAnsi="Times New Roman" w:eastAsia="黑体" w:cs="Times New Roman"/>
          <w:b w:val="0"/>
          <w:bCs w:val="0"/>
          <w:sz w:val="21"/>
          <w:szCs w:val="21"/>
          <w:lang w:val="en-US" w:eastAsia="zh-CN"/>
        </w:rPr>
        <w:t>■</w:t>
      </w:r>
      <w:r>
        <w:rPr>
          <w:rFonts w:hint="default" w:ascii="Times New Roman" w:hAnsi="Times New Roman" w:cs="Times New Roman"/>
          <w:b w:val="0"/>
          <w:bCs w:val="0"/>
          <w:sz w:val="21"/>
          <w:szCs w:val="21"/>
          <w:lang w:val="en-US" w:eastAsia="zh-CN"/>
        </w:rPr>
        <w:t>一般</w:t>
      </w:r>
      <w:r>
        <w:rPr>
          <w:rFonts w:hint="default" w:ascii="Times New Roman" w:hAnsi="Times New Roman" w:eastAsia="宋体"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sz w:val="21"/>
          <w:szCs w:val="21"/>
          <w:lang w:val="en-US" w:eastAsia="zh-CN"/>
        </w:rPr>
        <w:t>较小</w:t>
      </w:r>
      <w:r>
        <w:rPr>
          <w:rFonts w:hint="default" w:ascii="Times New Roman" w:hAnsi="Times New Roman" w:eastAsia="宋体" w:cs="Times New Roman"/>
          <w:b w:val="0"/>
          <w:bCs w:val="0"/>
          <w:kern w:val="0"/>
          <w:sz w:val="21"/>
          <w:szCs w:val="21"/>
          <w:highlight w:val="none"/>
          <w:vertAlign w:val="baseline"/>
          <w:lang w:val="en-US" w:eastAsia="zh-CN" w:bidi="zh-CN"/>
        </w:rPr>
        <w:t>▲</w:t>
      </w:r>
      <w:r>
        <w:rPr>
          <w:rFonts w:hint="default" w:ascii="Times New Roman" w:hAnsi="Times New Roman" w:cs="Times New Roman"/>
          <w:b w:val="0"/>
          <w:bCs w:val="0"/>
          <w:sz w:val="21"/>
          <w:szCs w:val="21"/>
          <w:lang w:val="en-US" w:eastAsia="zh-CN"/>
        </w:rPr>
        <w:t xml:space="preserve"> 正面影响：明显一般</w:t>
      </w:r>
      <w:r>
        <w:rPr>
          <w:rFonts w:hint="default" w:ascii="Times New Roman" w:hAnsi="Times New Roman" w:eastAsia="宋体" w:cs="Times New Roman"/>
          <w:b w:val="0"/>
          <w:bCs w:val="0"/>
          <w:kern w:val="0"/>
          <w:sz w:val="21"/>
          <w:szCs w:val="21"/>
          <w:highlight w:val="none"/>
          <w:vertAlign w:val="baseline"/>
          <w:lang w:val="en-US" w:eastAsia="zh-CN" w:bidi="zh-CN"/>
        </w:rPr>
        <w:t>O</w:t>
      </w:r>
      <w:r>
        <w:rPr>
          <w:rFonts w:hint="default" w:ascii="Times New Roman" w:hAnsi="Times New Roman" w:cs="Times New Roman"/>
          <w:b w:val="0"/>
          <w:bCs w:val="0"/>
          <w:sz w:val="21"/>
          <w:szCs w:val="21"/>
          <w:lang w:val="en-US" w:eastAsia="zh-CN"/>
        </w:rPr>
        <w:t>较小</w:t>
      </w:r>
      <w:r>
        <w:rPr>
          <w:rFonts w:hint="default" w:ascii="Times New Roman" w:hAnsi="Times New Roman" w:eastAsia="宋体" w:cs="Times New Roman"/>
          <w:b w:val="0"/>
          <w:bCs w:val="0"/>
          <w:kern w:val="0"/>
          <w:sz w:val="21"/>
          <w:szCs w:val="21"/>
          <w:highlight w:val="none"/>
          <w:vertAlign w:val="baseline"/>
          <w:lang w:val="en-US" w:eastAsia="zh-CN" w:bidi="zh-CN"/>
        </w:rPr>
        <w:t>△</w:t>
      </w: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ind w:right="0" w:rightChars="0"/>
        <w:jc w:val="center"/>
        <w:textAlignment w:val="auto"/>
        <w:rPr>
          <w:rFonts w:hint="default" w:ascii="Times New Roman" w:hAnsi="Times New Roman" w:cs="Times New Roman"/>
          <w:b/>
          <w:bCs/>
          <w:kern w:val="0"/>
          <w:sz w:val="21"/>
          <w:szCs w:val="21"/>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ind w:right="0" w:rightChars="0"/>
        <w:jc w:val="center"/>
        <w:textAlignment w:val="auto"/>
        <w:rPr>
          <w:rFonts w:hint="default" w:ascii="Times New Roman" w:hAnsi="Times New Roman" w:cs="Times New Roman"/>
          <w:b/>
          <w:bCs/>
          <w:kern w:val="0"/>
          <w:sz w:val="21"/>
          <w:szCs w:val="21"/>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ind w:right="0" w:rightChars="0"/>
        <w:jc w:val="center"/>
        <w:textAlignment w:val="auto"/>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表2.13-</w:t>
      </w:r>
      <w:r>
        <w:rPr>
          <w:rFonts w:hint="eastAsia" w:ascii="Times New Roman" w:hAnsi="Times New Roman" w:cs="Times New Roman"/>
          <w:b/>
          <w:bCs/>
          <w:kern w:val="0"/>
          <w:sz w:val="21"/>
          <w:szCs w:val="21"/>
          <w:highlight w:val="none"/>
          <w:lang w:val="en-US" w:eastAsia="zh-CN"/>
        </w:rPr>
        <w:t>5</w:t>
      </w:r>
      <w:r>
        <w:rPr>
          <w:rFonts w:hint="default" w:ascii="Times New Roman" w:hAnsi="Times New Roman" w:cs="Times New Roman"/>
          <w:b/>
          <w:bCs/>
          <w:kern w:val="0"/>
          <w:sz w:val="21"/>
          <w:szCs w:val="21"/>
          <w:highlight w:val="none"/>
          <w:lang w:val="en-US" w:eastAsia="zh-CN"/>
        </w:rPr>
        <w:t xml:space="preserve"> 环境影响评价内容与评价因子筛选</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3947"/>
        <w:gridCol w:w="1424"/>
        <w:gridCol w:w="1270"/>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vMerge w:val="restar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环境</w:t>
            </w:r>
            <w:r>
              <w:rPr>
                <w:rFonts w:hint="default" w:ascii="Times New Roman" w:hAnsi="Times New Roman" w:cs="Times New Roman"/>
                <w:b w:val="0"/>
                <w:bCs w:val="0"/>
                <w:kern w:val="0"/>
                <w:sz w:val="21"/>
                <w:szCs w:val="21"/>
                <w:highlight w:val="none"/>
                <w:vertAlign w:val="baseline"/>
                <w:lang w:val="en-US" w:eastAsia="zh-CN" w:bidi="zh-CN"/>
              </w:rPr>
              <w:t>要素</w:t>
            </w:r>
          </w:p>
        </w:tc>
        <w:tc>
          <w:tcPr>
            <w:tcW w:w="2135" w:type="pct"/>
            <w:vMerge w:val="restar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评价内容</w:t>
            </w:r>
          </w:p>
        </w:tc>
        <w:tc>
          <w:tcPr>
            <w:tcW w:w="2185" w:type="pct"/>
            <w:gridSpan w:val="3"/>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vMerge w:val="continue"/>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p>
        </w:tc>
        <w:tc>
          <w:tcPr>
            <w:tcW w:w="2135" w:type="pct"/>
            <w:vMerge w:val="continue"/>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70"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常规</w:t>
            </w:r>
          </w:p>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污染因子</w:t>
            </w:r>
          </w:p>
        </w:tc>
        <w:tc>
          <w:tcPr>
            <w:tcW w:w="687"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特征</w:t>
            </w:r>
          </w:p>
          <w:p>
            <w:pPr>
              <w:pStyle w:val="6"/>
              <w:pageBreakBefore w:val="0"/>
              <w:widowControl w:val="0"/>
              <w:wordWrap/>
              <w:topLinePunct w:val="0"/>
              <w:autoSpaceDE w:val="0"/>
              <w:autoSpaceDN w:val="0"/>
              <w:bidi w:val="0"/>
              <w:snapToGrid/>
              <w:spacing w:before="0" w:beforeLines="0" w:after="0" w:afterLines="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val="0"/>
                <w:bCs w:val="0"/>
                <w:kern w:val="0"/>
                <w:sz w:val="21"/>
                <w:szCs w:val="21"/>
                <w:highlight w:val="none"/>
                <w:vertAlign w:val="baseline"/>
                <w:lang w:val="en-US" w:eastAsia="zh-CN" w:bidi="zh-CN"/>
              </w:rPr>
              <w:t>污染因子</w:t>
            </w:r>
          </w:p>
        </w:tc>
        <w:tc>
          <w:tcPr>
            <w:tcW w:w="727"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生态因子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79" w:type="pct"/>
            <w:vMerge w:val="restar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环境空气</w:t>
            </w:r>
          </w:p>
        </w:tc>
        <w:tc>
          <w:tcPr>
            <w:tcW w:w="2135" w:type="pct"/>
            <w:vAlign w:val="center"/>
          </w:tcPr>
          <w:p>
            <w:pPr>
              <w:pStyle w:val="16"/>
              <w:keepNext w:val="0"/>
              <w:keepLines w:val="0"/>
              <w:widowControl/>
              <w:suppressLineNumbers w:val="0"/>
              <w:spacing w:before="0" w:beforeAutospacing="0" w:after="0" w:afterAutospacing="0"/>
              <w:ind w:left="0" w:right="0" w:firstLine="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施工期车辆道路扬尘</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施工粉尘及沥青烟气的影响。</w:t>
            </w:r>
          </w:p>
        </w:tc>
        <w:tc>
          <w:tcPr>
            <w:tcW w:w="770"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TSP</w:t>
            </w:r>
          </w:p>
        </w:tc>
        <w:tc>
          <w:tcPr>
            <w:tcW w:w="687"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沥青烟气</w:t>
            </w:r>
          </w:p>
        </w:tc>
        <w:tc>
          <w:tcPr>
            <w:tcW w:w="727"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79" w:type="pct"/>
            <w:vMerge w:val="continue"/>
            <w:vAlign w:val="center"/>
          </w:tcPr>
          <w:p>
            <w:pPr>
              <w:kinsoku w:val="0"/>
              <w:overflowPunct w:val="0"/>
              <w:autoSpaceDE w:val="0"/>
              <w:autoSpaceDN w:val="0"/>
              <w:adjustRightInd w:val="0"/>
              <w:spacing w:line="360" w:lineRule="auto"/>
              <w:jc w:val="center"/>
              <w:rPr>
                <w:rFonts w:hint="default" w:ascii="Times New Roman" w:hAnsi="Times New Roman" w:cs="Times New Roman"/>
                <w:sz w:val="21"/>
                <w:szCs w:val="21"/>
              </w:rPr>
            </w:pPr>
          </w:p>
        </w:tc>
        <w:tc>
          <w:tcPr>
            <w:tcW w:w="2135" w:type="pct"/>
            <w:vAlign w:val="center"/>
          </w:tcPr>
          <w:p>
            <w:pPr>
              <w:pStyle w:val="16"/>
              <w:keepNext w:val="0"/>
              <w:keepLines w:val="0"/>
              <w:widowControl/>
              <w:suppressLineNumbers w:val="0"/>
              <w:spacing w:before="0" w:beforeAutospacing="0" w:after="0" w:afterAutospacing="0"/>
              <w:ind w:left="0" w:right="0" w:firstLine="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运营期公路交通汽车尾气。</w:t>
            </w:r>
          </w:p>
        </w:tc>
        <w:tc>
          <w:tcPr>
            <w:tcW w:w="770"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NO2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CO</w:t>
            </w:r>
          </w:p>
        </w:tc>
        <w:tc>
          <w:tcPr>
            <w:tcW w:w="687"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27"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生态</w:t>
            </w:r>
          </w:p>
        </w:tc>
        <w:tc>
          <w:tcPr>
            <w:tcW w:w="2135" w:type="pct"/>
            <w:vAlign w:val="center"/>
          </w:tcPr>
          <w:p>
            <w:pPr>
              <w:pStyle w:val="16"/>
              <w:keepNext w:val="0"/>
              <w:keepLines w:val="0"/>
              <w:widowControl/>
              <w:numPr>
                <w:ilvl w:val="0"/>
                <w:numId w:val="2"/>
              </w:numPr>
              <w:suppressLineNumbers w:val="0"/>
              <w:spacing w:before="0" w:beforeAutospacing="0" w:after="0" w:afterAutospacing="0"/>
              <w:ind w:left="0" w:right="0" w:firstLine="0"/>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对农业生态以及动植物影响情况</w:t>
            </w:r>
            <w:r>
              <w:rPr>
                <w:rFonts w:hint="default" w:ascii="Times New Roman" w:hAnsi="Times New Roman" w:cs="Times New Roman"/>
                <w:b w:val="0"/>
                <w:bCs w:val="0"/>
                <w:kern w:val="0"/>
                <w:sz w:val="21"/>
                <w:szCs w:val="21"/>
                <w:highlight w:val="none"/>
                <w:vertAlign w:val="baseline"/>
                <w:lang w:val="en-US" w:eastAsia="zh-CN" w:bidi="zh-CN"/>
              </w:rPr>
              <w:t>；</w:t>
            </w:r>
          </w:p>
          <w:p>
            <w:pPr>
              <w:pStyle w:val="16"/>
              <w:keepNext w:val="0"/>
              <w:keepLines w:val="0"/>
              <w:widowControl/>
              <w:numPr>
                <w:ilvl w:val="0"/>
                <w:numId w:val="2"/>
              </w:numPr>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对土地利用的影响</w:t>
            </w:r>
            <w:r>
              <w:rPr>
                <w:rFonts w:hint="default" w:ascii="Times New Roman" w:hAnsi="Times New Roman" w:cs="Times New Roman"/>
                <w:b w:val="0"/>
                <w:bCs w:val="0"/>
                <w:kern w:val="0"/>
                <w:sz w:val="21"/>
                <w:szCs w:val="21"/>
                <w:highlight w:val="none"/>
                <w:vertAlign w:val="baseline"/>
                <w:lang w:val="en-US" w:eastAsia="zh-CN" w:bidi="zh-CN"/>
              </w:rPr>
              <w:t>；</w:t>
            </w:r>
          </w:p>
          <w:p>
            <w:pPr>
              <w:pStyle w:val="16"/>
              <w:keepNext w:val="0"/>
              <w:keepLines w:val="0"/>
              <w:widowControl/>
              <w:numPr>
                <w:ilvl w:val="0"/>
                <w:numId w:val="2"/>
              </w:numPr>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水土流失的影响</w:t>
            </w:r>
            <w:r>
              <w:rPr>
                <w:rFonts w:hint="default" w:ascii="Times New Roman" w:hAnsi="Times New Roman" w:cs="Times New Roman"/>
                <w:b w:val="0"/>
                <w:bCs w:val="0"/>
                <w:kern w:val="0"/>
                <w:sz w:val="21"/>
                <w:szCs w:val="21"/>
                <w:highlight w:val="none"/>
                <w:vertAlign w:val="baseline"/>
                <w:lang w:val="en-US" w:eastAsia="zh-CN" w:bidi="zh-CN"/>
              </w:rPr>
              <w:t>；</w:t>
            </w:r>
          </w:p>
          <w:p>
            <w:pPr>
              <w:pStyle w:val="16"/>
              <w:keepNext w:val="0"/>
              <w:keepLines w:val="0"/>
              <w:widowControl/>
              <w:numPr>
                <w:ilvl w:val="0"/>
                <w:numId w:val="0"/>
              </w:numPr>
              <w:suppressLineNumbers w:val="0"/>
              <w:spacing w:before="0" w:beforeAutospacing="0" w:after="0" w:afterAutospacing="0"/>
              <w:ind w:leftChars="0" w:right="0" w:rightChars="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4</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对景观的影响。</w:t>
            </w:r>
          </w:p>
        </w:tc>
        <w:tc>
          <w:tcPr>
            <w:tcW w:w="770"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c>
          <w:tcPr>
            <w:tcW w:w="687"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27" w:type="pct"/>
            <w:vAlign w:val="center"/>
          </w:tcPr>
          <w:p>
            <w:pPr>
              <w:pStyle w:val="16"/>
              <w:keepNext w:val="0"/>
              <w:keepLines w:val="0"/>
              <w:widowControl/>
              <w:suppressLineNumbers w:val="0"/>
              <w:spacing w:before="0" w:beforeAutospacing="0" w:after="0" w:afterAutospacing="0"/>
              <w:ind w:left="0" w:right="0" w:firstLine="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植被</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土壤侵蚀</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 xml:space="preserve">物种多样性 </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动植物等。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水环境</w:t>
            </w:r>
          </w:p>
        </w:tc>
        <w:tc>
          <w:tcPr>
            <w:tcW w:w="2135" w:type="pct"/>
            <w:vAlign w:val="center"/>
          </w:tcPr>
          <w:p>
            <w:pPr>
              <w:pStyle w:val="16"/>
              <w:keepNext w:val="0"/>
              <w:keepLines w:val="0"/>
              <w:widowControl/>
              <w:numPr>
                <w:ilvl w:val="0"/>
                <w:numId w:val="0"/>
              </w:numPr>
              <w:suppressLineNumbers w:val="0"/>
              <w:spacing w:before="0" w:beforeAutospacing="0" w:after="0" w:afterAutospacing="0"/>
              <w:ind w:leftChars="0" w:right="0" w:rightChars="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1</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施工期桥涵施工</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路基施工中产生的施工废水及施工营地产生的生活污水排放情况</w:t>
            </w:r>
            <w:r>
              <w:rPr>
                <w:rFonts w:hint="default" w:ascii="Times New Roman" w:hAnsi="Times New Roman" w:cs="Times New Roman"/>
                <w:b w:val="0"/>
                <w:bCs w:val="0"/>
                <w:kern w:val="0"/>
                <w:sz w:val="21"/>
                <w:szCs w:val="21"/>
                <w:highlight w:val="none"/>
                <w:vertAlign w:val="baseline"/>
                <w:lang w:val="en-US" w:eastAsia="zh-CN" w:bidi="zh-CN"/>
              </w:rPr>
              <w:t>；</w:t>
            </w:r>
          </w:p>
          <w:p>
            <w:pPr>
              <w:pStyle w:val="16"/>
              <w:keepNext w:val="0"/>
              <w:keepLines w:val="0"/>
              <w:widowControl/>
              <w:numPr>
                <w:ilvl w:val="0"/>
                <w:numId w:val="0"/>
              </w:numPr>
              <w:suppressLineNumbers w:val="0"/>
              <w:spacing w:before="0" w:beforeAutospacing="0" w:after="0" w:afterAutospacing="0"/>
              <w:ind w:leftChars="0" w:right="0" w:rightChars="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2</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运营期路面初期雨污水的排放情况</w:t>
            </w:r>
            <w:r>
              <w:rPr>
                <w:rFonts w:hint="default" w:ascii="Times New Roman" w:hAnsi="Times New Roman" w:cs="Times New Roman"/>
                <w:b w:val="0"/>
                <w:bCs w:val="0"/>
                <w:kern w:val="0"/>
                <w:sz w:val="21"/>
                <w:szCs w:val="21"/>
                <w:highlight w:val="none"/>
                <w:vertAlign w:val="baseline"/>
                <w:lang w:val="en-US" w:eastAsia="zh-CN" w:bidi="zh-CN"/>
              </w:rPr>
              <w:t>；</w:t>
            </w:r>
          </w:p>
          <w:p>
            <w:pPr>
              <w:pStyle w:val="16"/>
              <w:keepNext w:val="0"/>
              <w:keepLines w:val="0"/>
              <w:widowControl/>
              <w:numPr>
                <w:ilvl w:val="0"/>
                <w:numId w:val="0"/>
              </w:numPr>
              <w:suppressLineNumbers w:val="0"/>
              <w:spacing w:before="0" w:beforeAutospacing="0" w:after="0" w:afterAutospacing="0"/>
              <w:ind w:leftChars="0" w:right="0" w:rightChars="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3</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装载危险品的车辆因交通事故泄露</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滴漏或翻入河流后产生严重水污染</w:t>
            </w:r>
            <w:r>
              <w:rPr>
                <w:rFonts w:hint="default" w:ascii="Times New Roman" w:hAnsi="Times New Roman" w:cs="Times New Roman"/>
                <w:b w:val="0"/>
                <w:bCs w:val="0"/>
                <w:kern w:val="0"/>
                <w:sz w:val="21"/>
                <w:szCs w:val="21"/>
                <w:highlight w:val="none"/>
                <w:vertAlign w:val="baseline"/>
                <w:lang w:val="en-US" w:eastAsia="zh-CN" w:bidi="zh-CN"/>
              </w:rPr>
              <w:t>。</w:t>
            </w:r>
          </w:p>
        </w:tc>
        <w:tc>
          <w:tcPr>
            <w:tcW w:w="770" w:type="pct"/>
            <w:vAlign w:val="center"/>
          </w:tcPr>
          <w:p>
            <w:pPr>
              <w:kinsoku w:val="0"/>
              <w:overflowPunct w:val="0"/>
              <w:autoSpaceDE w:val="0"/>
              <w:autoSpaceDN w:val="0"/>
              <w:adjustRightInd w:val="0"/>
              <w:spacing w:line="24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COD</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SS</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BOD</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氨氮</w:t>
            </w:r>
            <w:r>
              <w:rPr>
                <w:rFonts w:hint="eastAsia" w:ascii="Times New Roman" w:hAnsi="Times New Roman" w:cs="Times New Roman"/>
                <w:b w:val="0"/>
                <w:bCs w:val="0"/>
                <w:kern w:val="0"/>
                <w:sz w:val="21"/>
                <w:szCs w:val="21"/>
                <w:highlight w:val="none"/>
                <w:vertAlign w:val="baseline"/>
                <w:lang w:val="en-US" w:eastAsia="zh-CN" w:bidi="zh-CN"/>
              </w:rPr>
              <w:t>、</w:t>
            </w:r>
            <w:r>
              <w:rPr>
                <w:rFonts w:hint="default" w:ascii="Times New Roman" w:hAnsi="Times New Roman" w:eastAsia="宋体" w:cs="Times New Roman"/>
                <w:b w:val="0"/>
                <w:bCs w:val="0"/>
                <w:kern w:val="0"/>
                <w:sz w:val="21"/>
                <w:szCs w:val="21"/>
                <w:highlight w:val="none"/>
                <w:vertAlign w:val="baseline"/>
                <w:lang w:val="en-US" w:eastAsia="zh-CN" w:bidi="zh-CN"/>
              </w:rPr>
              <w:t>动植物油</w:t>
            </w:r>
          </w:p>
        </w:tc>
        <w:tc>
          <w:tcPr>
            <w:tcW w:w="687"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石油类</w:t>
            </w:r>
          </w:p>
        </w:tc>
        <w:tc>
          <w:tcPr>
            <w:tcW w:w="727" w:type="pc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79" w:type="pct"/>
            <w:vMerge w:val="restart"/>
            <w:vAlign w:val="center"/>
          </w:tcPr>
          <w:p>
            <w:pPr>
              <w:kinsoku w:val="0"/>
              <w:overflowPunct w:val="0"/>
              <w:autoSpaceDE w:val="0"/>
              <w:autoSpaceDN w:val="0"/>
              <w:adjustRightInd w:val="0"/>
              <w:spacing w:line="360" w:lineRule="auto"/>
              <w:jc w:val="center"/>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声环境</w:t>
            </w:r>
          </w:p>
        </w:tc>
        <w:tc>
          <w:tcPr>
            <w:tcW w:w="2135" w:type="pct"/>
            <w:vAlign w:val="center"/>
          </w:tcPr>
          <w:p>
            <w:pPr>
              <w:pStyle w:val="16"/>
              <w:keepNext w:val="0"/>
              <w:keepLines w:val="0"/>
              <w:widowControl/>
              <w:suppressLineNumbers w:val="0"/>
              <w:spacing w:before="0" w:beforeAutospacing="0" w:after="0" w:afterAutospacing="0"/>
              <w:ind w:left="0" w:right="0" w:firstLine="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施工期机械噪声对沿线声敏感点影响。</w:t>
            </w:r>
          </w:p>
        </w:tc>
        <w:tc>
          <w:tcPr>
            <w:tcW w:w="770" w:type="pct"/>
            <w:vMerge w:val="restar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LAeq</w:t>
            </w:r>
          </w:p>
        </w:tc>
        <w:tc>
          <w:tcPr>
            <w:tcW w:w="687" w:type="pct"/>
            <w:vMerge w:val="restar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27" w:type="pct"/>
            <w:vMerge w:val="restart"/>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79" w:type="pct"/>
            <w:vMerge w:val="continue"/>
            <w:vAlign w:val="center"/>
          </w:tcPr>
          <w:p>
            <w:pPr>
              <w:kinsoku w:val="0"/>
              <w:overflowPunct w:val="0"/>
              <w:autoSpaceDE w:val="0"/>
              <w:autoSpaceDN w:val="0"/>
              <w:adjustRightInd w:val="0"/>
              <w:spacing w:line="360" w:lineRule="auto"/>
              <w:jc w:val="center"/>
              <w:rPr>
                <w:rFonts w:hint="default" w:ascii="Times New Roman" w:hAnsi="Times New Roman" w:cs="Times New Roman"/>
                <w:sz w:val="21"/>
                <w:szCs w:val="21"/>
              </w:rPr>
            </w:pPr>
          </w:p>
        </w:tc>
        <w:tc>
          <w:tcPr>
            <w:tcW w:w="2135" w:type="pct"/>
            <w:vAlign w:val="center"/>
          </w:tcPr>
          <w:p>
            <w:pPr>
              <w:pStyle w:val="16"/>
              <w:keepNext w:val="0"/>
              <w:keepLines w:val="0"/>
              <w:widowControl/>
              <w:suppressLineNumbers w:val="0"/>
              <w:spacing w:before="0" w:beforeAutospacing="0" w:after="0" w:afterAutospacing="0"/>
              <w:ind w:left="0" w:right="0" w:firstLine="0"/>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eastAsia="宋体" w:cs="Times New Roman"/>
                <w:b w:val="0"/>
                <w:bCs w:val="0"/>
                <w:kern w:val="0"/>
                <w:sz w:val="21"/>
                <w:szCs w:val="21"/>
                <w:highlight w:val="none"/>
                <w:vertAlign w:val="baseline"/>
                <w:lang w:val="en-US" w:eastAsia="zh-CN" w:bidi="zh-CN"/>
              </w:rPr>
              <w:t>运营期交通噪声对沿线声敏感点影响。</w:t>
            </w:r>
          </w:p>
        </w:tc>
        <w:tc>
          <w:tcPr>
            <w:tcW w:w="770" w:type="pct"/>
            <w:vMerge w:val="continue"/>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c>
          <w:tcPr>
            <w:tcW w:w="687" w:type="pct"/>
            <w:vMerge w:val="continue"/>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27" w:type="pct"/>
            <w:vMerge w:val="continue"/>
            <w:vAlign w:val="center"/>
          </w:tcPr>
          <w:p>
            <w:pPr>
              <w:kinsoku w:val="0"/>
              <w:overflowPunct w:val="0"/>
              <w:autoSpaceDE w:val="0"/>
              <w:autoSpaceDN w:val="0"/>
              <w:adjustRightInd w:val="0"/>
              <w:spacing w:line="360" w:lineRule="auto"/>
              <w:jc w:val="center"/>
              <w:rPr>
                <w:rFonts w:hint="default" w:ascii="Times New Roman" w:hAnsi="Times New Roman" w:eastAsia="宋体"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679" w:type="pct"/>
            <w:vMerge w:val="restart"/>
            <w:vAlign w:val="center"/>
          </w:tcPr>
          <w:p>
            <w:pPr>
              <w:kinsoku w:val="0"/>
              <w:overflowPunct w:val="0"/>
              <w:autoSpaceDE w:val="0"/>
              <w:autoSpaceDN w:val="0"/>
              <w:adjustRightInd w:val="0"/>
              <w:spacing w:line="360" w:lineRule="auto"/>
              <w:jc w:val="center"/>
              <w:rPr>
                <w:rFonts w:hint="default" w:ascii="Times New Roman" w:hAnsi="Times New Roman"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固体废物</w:t>
            </w:r>
          </w:p>
        </w:tc>
        <w:tc>
          <w:tcPr>
            <w:tcW w:w="2135"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施工期的建筑垃圾和施工营地生活垃圾对环境的影响</w:t>
            </w:r>
          </w:p>
        </w:tc>
        <w:tc>
          <w:tcPr>
            <w:tcW w:w="770"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固体废物</w:t>
            </w:r>
          </w:p>
        </w:tc>
        <w:tc>
          <w:tcPr>
            <w:tcW w:w="687"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27"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679" w:type="pct"/>
            <w:vMerge w:val="continue"/>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cs="Times New Roman"/>
                <w:sz w:val="21"/>
                <w:szCs w:val="21"/>
              </w:rPr>
            </w:pPr>
          </w:p>
        </w:tc>
        <w:tc>
          <w:tcPr>
            <w:tcW w:w="2135"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运营期沿线垃圾对环境的影响</w:t>
            </w:r>
          </w:p>
        </w:tc>
        <w:tc>
          <w:tcPr>
            <w:tcW w:w="770"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r>
              <w:rPr>
                <w:rFonts w:hint="default" w:ascii="Times New Roman" w:hAnsi="Times New Roman" w:cs="Times New Roman"/>
                <w:b w:val="0"/>
                <w:bCs w:val="0"/>
                <w:kern w:val="0"/>
                <w:sz w:val="21"/>
                <w:szCs w:val="21"/>
                <w:highlight w:val="none"/>
                <w:vertAlign w:val="baseline"/>
                <w:lang w:val="en-US" w:eastAsia="zh-CN" w:bidi="zh-CN"/>
              </w:rPr>
              <w:t>固体废物</w:t>
            </w:r>
          </w:p>
        </w:tc>
        <w:tc>
          <w:tcPr>
            <w:tcW w:w="687"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p>
        </w:tc>
        <w:tc>
          <w:tcPr>
            <w:tcW w:w="727" w:type="pct"/>
            <w:vAlign w:val="center"/>
          </w:tcPr>
          <w:p>
            <w:pPr>
              <w:pageBreakBefore w:val="0"/>
              <w:widowControl w:val="0"/>
              <w:kinsoku w:val="0"/>
              <w:wordWrap/>
              <w:overflowPunct w:val="0"/>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zh-CN"/>
              </w:rPr>
            </w:pPr>
          </w:p>
        </w:tc>
      </w:tr>
    </w:tbl>
    <w:p>
      <w:pPr>
        <w:bidi w:val="0"/>
        <w:rPr>
          <w:rFonts w:hint="default"/>
          <w:lang w:val="en-US" w:eastAsia="zh-CN"/>
        </w:rPr>
      </w:pP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2.13.2.污染源强估算</w:t>
      </w:r>
    </w:p>
    <w:p>
      <w:pPr>
        <w:pStyle w:val="6"/>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3"/>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2.13.2.1.水环境影响及源强分析</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施工期</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施工期水环境污染源强主要包括施工场地施工生产废水桥梁施工废水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施工人员生活污水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等几部分。</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（1）施工场地生产废水</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 xml:space="preserve">根据全线统计结果，规划施工场地 2个，其中预制场 2 处，钢筋加工场2处，无冷拌 </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热拌站 。</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施工场地中钢筋加工场基本不产生废水，因此水环境污染源主要为预制场混凝土养生废水，一般1处预制场在高峰期日产废水量约20m</w:t>
      </w:r>
      <w:r>
        <w:rPr>
          <w:rFonts w:hint="default" w:ascii="Times New Roman" w:hAnsi="Times New Roman" w:cs="Times New Roman"/>
          <w:b w:val="0"/>
          <w:bCs w:val="0"/>
          <w:sz w:val="24"/>
          <w:szCs w:val="24"/>
          <w:highlight w:val="none"/>
          <w:vertAlign w:val="superscript"/>
          <w:lang w:val="en-US" w:eastAsia="zh-CN" w:bidi="zh-CN"/>
        </w:rPr>
        <w:t>3</w:t>
      </w:r>
      <w:r>
        <w:rPr>
          <w:rFonts w:hint="default" w:ascii="Times New Roman" w:hAnsi="Times New Roman" w:cs="Times New Roman"/>
          <w:b w:val="0"/>
          <w:bCs w:val="0"/>
          <w:sz w:val="24"/>
          <w:szCs w:val="24"/>
          <w:highlight w:val="none"/>
          <w:lang w:val="en-US" w:eastAsia="zh-CN" w:bidi="zh-CN"/>
        </w:rPr>
        <w:t>/d，废水主要污染物为SS，浓度可达到 3000-5000mg/L，则本项目 SS 产生量总计约 60kg/d。</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（2）桥梁施工废水</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本项目共计 2座跨河桥梁，均无涉水桥墩。桥梁基础施工中会产生淤泥</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岩浆和废渣，通过运输管道统一抽出，经沉淀后固体物质均清运至指定弃渣场，沉淀后的</w:t>
      </w:r>
      <w:r>
        <w:rPr>
          <w:rFonts w:hint="eastAsia" w:ascii="Times New Roman" w:hAnsi="Times New Roman" w:cs="Times New Roman"/>
          <w:b w:val="0"/>
          <w:bCs w:val="0"/>
          <w:sz w:val="24"/>
          <w:szCs w:val="24"/>
          <w:highlight w:val="none"/>
          <w:lang w:val="en-US" w:eastAsia="zh-CN" w:bidi="zh-CN"/>
        </w:rPr>
        <w:t>上清液</w:t>
      </w:r>
      <w:r>
        <w:rPr>
          <w:rFonts w:hint="default" w:ascii="Times New Roman" w:hAnsi="Times New Roman" w:cs="Times New Roman"/>
          <w:b w:val="0"/>
          <w:bCs w:val="0"/>
          <w:sz w:val="24"/>
          <w:szCs w:val="24"/>
          <w:highlight w:val="none"/>
          <w:lang w:val="en-US" w:eastAsia="zh-CN" w:bidi="zh-CN"/>
        </w:rPr>
        <w:t>进行回用。本项目桥面施工主要采用预制吊装方式，产生水污染的工点在于预制场，在吊装过程中，可能产生施工机械跑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冒</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漏污油及露天机械被雨水等冲刷后产生油污染，在雨天时形成地表径流污染受纳水体水质和土壤，因此需要设置临时沉淀池，以确保污染物不进入河流水体。</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（3）生活污水</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本项目施工人员生活污水排放量采用单位人口排污系数法计算，其中：每人每天用水定额 130L，排污系数取 0.8，工期按13 个月，施工高峰人数每标50人，则日排放量约 5.2m</w:t>
      </w:r>
      <w:r>
        <w:rPr>
          <w:rFonts w:hint="default" w:ascii="Times New Roman" w:hAnsi="Times New Roman" w:cs="Times New Roman"/>
          <w:b w:val="0"/>
          <w:bCs w:val="0"/>
          <w:sz w:val="24"/>
          <w:szCs w:val="24"/>
          <w:highlight w:val="none"/>
          <w:vertAlign w:val="superscript"/>
          <w:lang w:val="en-US" w:eastAsia="zh-CN" w:bidi="zh-CN"/>
        </w:rPr>
        <w:t>3</w:t>
      </w:r>
      <w:r>
        <w:rPr>
          <w:rFonts w:hint="default" w:ascii="Times New Roman" w:hAnsi="Times New Roman" w:cs="Times New Roman"/>
          <w:b w:val="0"/>
          <w:bCs w:val="0"/>
          <w:sz w:val="24"/>
          <w:szCs w:val="24"/>
          <w:highlight w:val="none"/>
          <w:lang w:val="en-US" w:eastAsia="zh-CN" w:bidi="zh-CN"/>
        </w:rPr>
        <w:t>，总排放量 67.6m</w:t>
      </w:r>
      <w:r>
        <w:rPr>
          <w:rFonts w:hint="default" w:ascii="Times New Roman" w:hAnsi="Times New Roman" w:cs="Times New Roman"/>
          <w:b w:val="0"/>
          <w:bCs w:val="0"/>
          <w:sz w:val="24"/>
          <w:szCs w:val="24"/>
          <w:highlight w:val="none"/>
          <w:vertAlign w:val="superscript"/>
          <w:lang w:val="en-US" w:eastAsia="zh-CN" w:bidi="zh-CN"/>
        </w:rPr>
        <w:t>3</w:t>
      </w:r>
      <w:r>
        <w:rPr>
          <w:rFonts w:hint="default" w:ascii="Times New Roman" w:hAnsi="Times New Roman" w:cs="Times New Roman"/>
          <w:b w:val="0"/>
          <w:bCs w:val="0"/>
          <w:sz w:val="24"/>
          <w:szCs w:val="24"/>
          <w:highlight w:val="none"/>
          <w:lang w:val="en-US" w:eastAsia="zh-CN" w:bidi="zh-CN"/>
        </w:rPr>
        <w:t>。根据类比类似工程，施工营地生活污水主要污染物及其浓度分别为 CODC</w:t>
      </w:r>
      <w:r>
        <w:rPr>
          <w:rFonts w:hint="default" w:ascii="Times New Roman" w:hAnsi="Times New Roman" w:cs="Times New Roman"/>
          <w:b w:val="0"/>
          <w:bCs w:val="0"/>
          <w:sz w:val="24"/>
          <w:szCs w:val="24"/>
          <w:highlight w:val="none"/>
          <w:vertAlign w:val="subscript"/>
          <w:lang w:val="en-US" w:eastAsia="zh-CN" w:bidi="zh-CN"/>
        </w:rPr>
        <w:t>r</w:t>
      </w:r>
      <w:r>
        <w:rPr>
          <w:rFonts w:hint="default" w:ascii="Times New Roman" w:hAnsi="Times New Roman" w:cs="Times New Roman"/>
          <w:b w:val="0"/>
          <w:bCs w:val="0"/>
          <w:sz w:val="24"/>
          <w:szCs w:val="24"/>
          <w:highlight w:val="none"/>
          <w:lang w:val="en-US" w:eastAsia="zh-CN" w:bidi="zh-CN"/>
        </w:rPr>
        <w:t xml:space="preserve"> 500mg/L</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BOD</w:t>
      </w:r>
      <w:r>
        <w:rPr>
          <w:rFonts w:hint="default" w:ascii="Times New Roman" w:hAnsi="Times New Roman" w:cs="Times New Roman"/>
          <w:b w:val="0"/>
          <w:bCs w:val="0"/>
          <w:sz w:val="24"/>
          <w:szCs w:val="24"/>
          <w:highlight w:val="none"/>
          <w:vertAlign w:val="subscript"/>
          <w:lang w:val="en-US" w:eastAsia="zh-CN" w:bidi="zh-CN"/>
        </w:rPr>
        <w:t>5</w:t>
      </w:r>
      <w:r>
        <w:rPr>
          <w:rFonts w:hint="default" w:ascii="Times New Roman" w:hAnsi="Times New Roman" w:cs="Times New Roman"/>
          <w:b w:val="0"/>
          <w:bCs w:val="0"/>
          <w:sz w:val="24"/>
          <w:szCs w:val="24"/>
          <w:highlight w:val="none"/>
          <w:lang w:val="en-US" w:eastAsia="zh-CN" w:bidi="zh-CN"/>
        </w:rPr>
        <w:t xml:space="preserve"> 250mg/L</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SS 300mg/L</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NH3-N 30mg/L</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动植物油30mg/L</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根据施工组织设计，本项目工程沿线人口较为密集，因此部分施工驻地及民工驻地可就近向沿线居民租房，不新建施工营地；施工人员生活污水依托沿线居民房的厕所</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化粪池进行处理。</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2</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运营期</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营运期水环境污染源强主要包括路面径流</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事故废水</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（1）路面径流</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本项目营运期对附近水域产生的污染途径主要表现为初期路面径流，在汽车保养状况不良</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发生故障</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出现事故等时，都可能泄漏汽油和机油污染路面，在遇降雨后，雨水经公路泄水道口流入附近的水域，造成石油类和 COD 的污染影响。根据有关实测结果和文献资料，路面雨水污染物浓度见表 2.</w:t>
      </w:r>
      <w:r>
        <w:rPr>
          <w:rFonts w:hint="eastAsia" w:ascii="Times New Roman" w:hAnsi="Times New Roman" w:cs="Times New Roman"/>
          <w:b w:val="0"/>
          <w:bCs w:val="0"/>
          <w:sz w:val="24"/>
          <w:szCs w:val="24"/>
          <w:highlight w:val="none"/>
          <w:lang w:val="en-US" w:eastAsia="zh-CN" w:bidi="zh-CN"/>
        </w:rPr>
        <w:t>1</w:t>
      </w:r>
      <w:r>
        <w:rPr>
          <w:rFonts w:hint="default" w:ascii="Times New Roman" w:hAnsi="Times New Roman" w:cs="Times New Roman"/>
          <w:b w:val="0"/>
          <w:bCs w:val="0"/>
          <w:sz w:val="24"/>
          <w:szCs w:val="24"/>
          <w:highlight w:val="none"/>
          <w:lang w:val="en-US" w:eastAsia="zh-CN" w:bidi="zh-CN"/>
        </w:rPr>
        <w:t>3-</w:t>
      </w:r>
      <w:r>
        <w:rPr>
          <w:rFonts w:hint="eastAsia" w:ascii="Times New Roman" w:hAnsi="Times New Roman" w:cs="Times New Roman"/>
          <w:b w:val="0"/>
          <w:bCs w:val="0"/>
          <w:sz w:val="24"/>
          <w:szCs w:val="24"/>
          <w:highlight w:val="none"/>
          <w:lang w:val="en-US" w:eastAsia="zh-CN" w:bidi="zh-CN"/>
        </w:rPr>
        <w:t>6</w:t>
      </w:r>
      <w:r>
        <w:rPr>
          <w:rFonts w:hint="default" w:ascii="Times New Roman" w:hAnsi="Times New Roman" w:cs="Times New Roman"/>
          <w:b w:val="0"/>
          <w:bCs w:val="0"/>
          <w:sz w:val="24"/>
          <w:szCs w:val="24"/>
          <w:highlight w:val="none"/>
          <w:lang w:val="en-US" w:eastAsia="zh-CN" w:bidi="zh-CN"/>
        </w:rPr>
        <w:t>。</w:t>
      </w:r>
    </w:p>
    <w:p>
      <w:pPr>
        <w:spacing w:before="0" w:after="28"/>
        <w:ind w:left="1773" w:right="0" w:firstLine="0"/>
        <w:jc w:val="both"/>
        <w:rPr>
          <w:rFonts w:hint="default" w:ascii="Times New Roman" w:hAnsi="Times New Roman" w:eastAsia="Times New Roman" w:cs="Times New Roman"/>
          <w:b/>
          <w:sz w:val="21"/>
        </w:rPr>
      </w:pPr>
      <w:r>
        <w:rPr>
          <w:rFonts w:hint="default" w:ascii="Times New Roman" w:hAnsi="Times New Roman" w:cs="Times New Roman"/>
          <w:b/>
          <w:spacing w:val="-26"/>
          <w:sz w:val="21"/>
        </w:rPr>
        <w:t xml:space="preserve">表 </w:t>
      </w:r>
      <w:r>
        <w:rPr>
          <w:rFonts w:hint="default" w:ascii="Times New Roman" w:hAnsi="Times New Roman" w:eastAsia="Times New Roman" w:cs="Times New Roman"/>
          <w:b/>
          <w:sz w:val="21"/>
        </w:rPr>
        <w:t>2.</w:t>
      </w:r>
      <w:r>
        <w:rPr>
          <w:rFonts w:hint="default" w:ascii="Times New Roman" w:hAnsi="Times New Roman" w:eastAsia="宋体" w:cs="Times New Roman"/>
          <w:b/>
          <w:sz w:val="21"/>
          <w:lang w:val="en-US" w:eastAsia="zh-CN"/>
        </w:rPr>
        <w:t>1</w:t>
      </w:r>
      <w:r>
        <w:rPr>
          <w:rFonts w:hint="default" w:ascii="Times New Roman" w:hAnsi="Times New Roman" w:eastAsia="Times New Roman" w:cs="Times New Roman"/>
          <w:b/>
          <w:sz w:val="21"/>
        </w:rPr>
        <w:t>3-</w:t>
      </w:r>
      <w:r>
        <w:rPr>
          <w:rFonts w:hint="eastAsia" w:ascii="Times New Roman" w:hAnsi="Times New Roman" w:cs="Times New Roman"/>
          <w:b/>
          <w:sz w:val="21"/>
          <w:lang w:val="en-US" w:eastAsia="zh-CN"/>
        </w:rPr>
        <w:t>6</w:t>
      </w:r>
      <w:r>
        <w:rPr>
          <w:rFonts w:hint="default" w:ascii="Times New Roman" w:hAnsi="Times New Roman" w:eastAsia="Times New Roman" w:cs="Times New Roman"/>
          <w:b/>
          <w:sz w:val="21"/>
        </w:rPr>
        <w:t xml:space="preserve"> </w:t>
      </w:r>
      <w:r>
        <w:rPr>
          <w:rFonts w:hint="default" w:ascii="Times New Roman" w:hAnsi="Times New Roman" w:cs="Times New Roman"/>
          <w:b/>
          <w:spacing w:val="-1"/>
          <w:sz w:val="21"/>
        </w:rPr>
        <w:t xml:space="preserve">路面水污染物浓度 </w:t>
      </w:r>
      <w:r>
        <w:rPr>
          <w:rFonts w:hint="eastAsia" w:ascii="Times New Roman" w:hAnsi="Times New Roman" w:cs="Times New Roman"/>
          <w:b/>
          <w:spacing w:val="-1"/>
          <w:sz w:val="21"/>
          <w:lang w:val="en-US" w:eastAsia="zh-CN"/>
        </w:rPr>
        <w:t xml:space="preserve">                     </w:t>
      </w:r>
      <w:r>
        <w:rPr>
          <w:rFonts w:hint="default" w:ascii="Times New Roman" w:hAnsi="Times New Roman" w:cs="Times New Roman"/>
          <w:b/>
          <w:spacing w:val="-1"/>
          <w:sz w:val="21"/>
        </w:rPr>
        <w:t xml:space="preserve"> 单位：</w:t>
      </w:r>
      <w:r>
        <w:rPr>
          <w:rFonts w:hint="default" w:ascii="Times New Roman" w:hAnsi="Times New Roman" w:eastAsia="Times New Roman" w:cs="Times New Roman"/>
          <w:b/>
          <w:sz w:val="21"/>
        </w:rPr>
        <w:t>mg/L</w:t>
      </w:r>
      <w:r>
        <w:rPr>
          <w:rFonts w:hint="eastAsia" w:ascii="Times New Roman" w:hAnsi="Times New Roman" w:eastAsia="宋体" w:cs="Times New Roman"/>
          <w:b/>
          <w:sz w:val="21"/>
          <w:lang w:eastAsia="zh-CN"/>
        </w:rPr>
        <w:t>（</w:t>
      </w:r>
      <w:r>
        <w:rPr>
          <w:rFonts w:hint="default" w:ascii="Times New Roman" w:hAnsi="Times New Roman" w:eastAsia="Times New Roman" w:cs="Times New Roman"/>
          <w:b/>
          <w:sz w:val="21"/>
        </w:rPr>
        <w:t xml:space="preserve">pH </w:t>
      </w:r>
      <w:r>
        <w:rPr>
          <w:rFonts w:hint="default" w:ascii="Times New Roman" w:hAnsi="Times New Roman" w:cs="Times New Roman"/>
          <w:b/>
          <w:sz w:val="21"/>
        </w:rPr>
        <w:t>无量纲</w:t>
      </w:r>
      <w:r>
        <w:rPr>
          <w:rFonts w:hint="eastAsia" w:ascii="Times New Roman" w:hAnsi="Times New Roman" w:cs="Times New Roman"/>
          <w:b/>
          <w:sz w:val="21"/>
          <w:lang w:eastAsia="zh-CN"/>
        </w:rPr>
        <w:t>）</w:t>
      </w:r>
    </w:p>
    <w:tbl>
      <w:tblPr>
        <w:tblStyle w:val="17"/>
        <w:tblW w:w="4755"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2264"/>
        <w:gridCol w:w="1359"/>
        <w:gridCol w:w="1357"/>
        <w:gridCol w:w="1357"/>
        <w:gridCol w:w="1360"/>
        <w:gridCol w:w="1357"/>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0" w:hRule="atLeast"/>
          <w:jc w:val="center"/>
        </w:trPr>
        <w:tc>
          <w:tcPr>
            <w:tcW w:w="1975" w:type="dxa"/>
            <w:tcBorders>
              <w:bottom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186" w:type="dxa"/>
            <w:tcBorders>
              <w:left w:val="single" w:color="000000" w:sz="6" w:space="0"/>
              <w:bottom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cs="Times New Roman"/>
                <w:sz w:val="21"/>
                <w:szCs w:val="21"/>
              </w:rPr>
            </w:pPr>
            <w:r>
              <w:rPr>
                <w:rFonts w:hint="default" w:ascii="Times New Roman" w:hAnsi="Times New Roman" w:cs="Times New Roman"/>
                <w:sz w:val="21"/>
                <w:szCs w:val="21"/>
              </w:rPr>
              <w:t>pH</w:t>
            </w:r>
          </w:p>
        </w:tc>
        <w:tc>
          <w:tcPr>
            <w:tcW w:w="1184" w:type="dxa"/>
            <w:tcBorders>
              <w:left w:val="single" w:color="000000" w:sz="6" w:space="0"/>
              <w:bottom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COD</w:t>
            </w:r>
            <w:r>
              <w:rPr>
                <w:rFonts w:hint="default" w:ascii="Times New Roman" w:hAnsi="Times New Roman" w:cs="Times New Roman"/>
                <w:sz w:val="21"/>
                <w:szCs w:val="21"/>
              </w:rPr>
              <w:t>cr</w:t>
            </w:r>
          </w:p>
        </w:tc>
        <w:tc>
          <w:tcPr>
            <w:tcW w:w="1184" w:type="dxa"/>
            <w:tcBorders>
              <w:left w:val="single" w:color="000000" w:sz="6" w:space="0"/>
              <w:bottom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BOD</w:t>
            </w:r>
            <w:r>
              <w:rPr>
                <w:rFonts w:hint="default" w:ascii="Times New Roman" w:hAnsi="Times New Roman" w:cs="Times New Roman"/>
                <w:sz w:val="21"/>
                <w:szCs w:val="21"/>
              </w:rPr>
              <w:t>5</w:t>
            </w:r>
          </w:p>
        </w:tc>
        <w:tc>
          <w:tcPr>
            <w:tcW w:w="1187" w:type="dxa"/>
            <w:tcBorders>
              <w:left w:val="single" w:color="000000" w:sz="6" w:space="0"/>
              <w:bottom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cs="Times New Roman"/>
                <w:sz w:val="21"/>
                <w:szCs w:val="21"/>
              </w:rPr>
            </w:pPr>
            <w:r>
              <w:rPr>
                <w:rFonts w:hint="default" w:ascii="Times New Roman" w:hAnsi="Times New Roman" w:cs="Times New Roman"/>
                <w:sz w:val="21"/>
                <w:szCs w:val="21"/>
              </w:rPr>
              <w:t>SS</w:t>
            </w:r>
          </w:p>
        </w:tc>
        <w:tc>
          <w:tcPr>
            <w:tcW w:w="1184" w:type="dxa"/>
            <w:tcBorders>
              <w:left w:val="single" w:color="000000" w:sz="6" w:space="0"/>
              <w:bottom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1" w:hRule="atLeast"/>
          <w:jc w:val="center"/>
        </w:trPr>
        <w:tc>
          <w:tcPr>
            <w:tcW w:w="1975" w:type="dxa"/>
            <w:tcBorders>
              <w:top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径流 </w:t>
            </w:r>
            <w:r>
              <w:rPr>
                <w:rFonts w:hint="default" w:ascii="Times New Roman" w:hAnsi="Times New Roman" w:cs="Times New Roman"/>
                <w:sz w:val="21"/>
                <w:szCs w:val="21"/>
              </w:rPr>
              <w:t xml:space="preserve">2h </w:t>
            </w:r>
            <w:r>
              <w:rPr>
                <w:rFonts w:hint="default" w:ascii="Times New Roman" w:hAnsi="Times New Roman" w:eastAsia="宋体" w:cs="Times New Roman"/>
                <w:sz w:val="21"/>
                <w:szCs w:val="21"/>
              </w:rPr>
              <w:t>内平均值</w:t>
            </w:r>
          </w:p>
        </w:tc>
        <w:tc>
          <w:tcPr>
            <w:tcW w:w="1186" w:type="dxa"/>
            <w:tcBorders>
              <w:top w:val="single" w:color="000000" w:sz="6" w:space="0"/>
              <w:left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cs="Times New Roman"/>
                <w:sz w:val="21"/>
                <w:szCs w:val="21"/>
              </w:rPr>
            </w:pPr>
            <w:r>
              <w:rPr>
                <w:rFonts w:hint="default" w:ascii="Times New Roman" w:hAnsi="Times New Roman" w:cs="Times New Roman"/>
                <w:sz w:val="21"/>
                <w:szCs w:val="21"/>
              </w:rPr>
              <w:t>7.4</w:t>
            </w:r>
          </w:p>
        </w:tc>
        <w:tc>
          <w:tcPr>
            <w:tcW w:w="1184" w:type="dxa"/>
            <w:tcBorders>
              <w:top w:val="single" w:color="000000" w:sz="6" w:space="0"/>
              <w:left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cs="Times New Roman"/>
                <w:sz w:val="21"/>
                <w:szCs w:val="21"/>
              </w:rPr>
            </w:pPr>
            <w:r>
              <w:rPr>
                <w:rFonts w:hint="default" w:ascii="Times New Roman" w:hAnsi="Times New Roman" w:cs="Times New Roman"/>
                <w:sz w:val="21"/>
                <w:szCs w:val="21"/>
              </w:rPr>
              <w:t>107</w:t>
            </w:r>
          </w:p>
        </w:tc>
        <w:tc>
          <w:tcPr>
            <w:tcW w:w="1184" w:type="dxa"/>
            <w:tcBorders>
              <w:top w:val="single" w:color="000000" w:sz="6" w:space="0"/>
              <w:left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187" w:type="dxa"/>
            <w:tcBorders>
              <w:top w:val="single" w:color="000000" w:sz="6" w:space="0"/>
              <w:left w:val="single" w:color="000000" w:sz="6" w:space="0"/>
              <w:righ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cs="Times New Roman"/>
                <w:sz w:val="21"/>
                <w:szCs w:val="21"/>
              </w:rPr>
            </w:pPr>
            <w:r>
              <w:rPr>
                <w:rFonts w:hint="default" w:ascii="Times New Roman" w:hAnsi="Times New Roman" w:cs="Times New Roman"/>
                <w:sz w:val="21"/>
                <w:szCs w:val="21"/>
              </w:rPr>
              <w:t>221</w:t>
            </w:r>
          </w:p>
        </w:tc>
        <w:tc>
          <w:tcPr>
            <w:tcW w:w="1184" w:type="dxa"/>
            <w:tcBorders>
              <w:top w:val="single" w:color="000000" w:sz="6" w:space="0"/>
              <w:left w:val="single" w:color="000000" w:sz="6" w:space="0"/>
            </w:tcBorders>
            <w:vAlign w:val="top"/>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rPr>
                <w:rFonts w:hint="default" w:ascii="Times New Roman" w:hAnsi="Times New Roman" w:cs="Times New Roman"/>
                <w:sz w:val="21"/>
                <w:szCs w:val="21"/>
              </w:rPr>
            </w:pPr>
            <w:r>
              <w:rPr>
                <w:rFonts w:hint="default" w:ascii="Times New Roman" w:hAnsi="Times New Roman" w:cs="Times New Roman"/>
                <w:sz w:val="21"/>
                <w:szCs w:val="21"/>
              </w:rPr>
              <w:t>7.0</w:t>
            </w:r>
          </w:p>
        </w:tc>
      </w:tr>
    </w:tbl>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（2）事故废水</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项目所在区域运载石油或其他危险品的车辆可能发生翻车事故，事故一旦发生，将对附近地表水域水体</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水生生态环境和农田灌溉水体造成严重的污染。本项目最可能造成环境风险的运输货物包括石油</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化肥农药</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矿石等。</w:t>
      </w:r>
    </w:p>
    <w:p>
      <w:pPr>
        <w:pStyle w:val="6"/>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3"/>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sz w:val="24"/>
          <w:szCs w:val="24"/>
          <w:lang w:val="en-US" w:eastAsia="zh-CN"/>
        </w:rPr>
        <w:t>2.13.2.2.环境空气污染源强分析</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bookmarkStart w:id="80" w:name="（1）施工期"/>
      <w:bookmarkEnd w:id="80"/>
      <w:bookmarkStart w:id="81" w:name="（1）施工期"/>
      <w:bookmarkEnd w:id="81"/>
      <w:r>
        <w:rPr>
          <w:rFonts w:hint="default" w:ascii="Times New Roman" w:hAnsi="Times New Roman" w:cs="Times New Roman"/>
          <w:b w:val="0"/>
          <w:bCs w:val="0"/>
          <w:sz w:val="24"/>
          <w:szCs w:val="24"/>
          <w:highlight w:val="none"/>
          <w:lang w:val="en-US" w:eastAsia="zh-CN" w:bidi="zh-CN"/>
        </w:rPr>
        <w:t>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施工期</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本项目全线采用沥青路面，本项目施工期产生废气主要包括施工场地扬尘</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汽车运输道路扬尘</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施工车辆及机械尾气</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沥青烟。</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（1）施工场地扬尘</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施工场地扬尘主要产生在清理表土</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场地平整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路基开挖</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路面施工等施工过程，本项目使用商品砼，不产生有组织扬尘；施工场地扬尘主要包括土石方开挖装卸扬尘及临时堆土场及路基等裸露地面产生二次扬尘。</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1）土石方装卸扬尘</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本项目土石方装卸主要采用挖掘机挖装，自卸汽车运输</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卸土，此过程中装卸料将会产生一定量的粉尘。装卸起尘量的经验估算公式采用下式进行估算：</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Q=1133.33×U1.6×H1.23×e（-0.28W）</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式中：Q—装卸起尘量，mg/s；</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H—物料落差（m），该项目取1.0m；</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U—当地年平均风速（m/s），取1.0m/s；</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W—平均物料含水率（%），本次环评洒水前取3%，洒水后取6%；</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经计算，本项目施工期土石方装卸起尘量为1114.4mg/s，每天施工期间每天装车时间为4h，基础工程施工期为8个月，即240d，二次扬尘起尘量共计2.67t/施工期。本次评价要求提高装车效率以缩短每天的装车时间，并在装车时降低料斗高度，减小卸料落差，可减少粉尘的产生。另外，在施工期每天洒水4次，并配备12t洒水车1辆，同时应合理安排装卸作业时间，尽量避免在大风等恶劣天气进行，如需在大风时装卸料，必须加强洒水降尘，以有效抑制粉尘的排放量。且取土场与弃土场采取围挡作业，</w:t>
      </w:r>
      <w:r>
        <w:rPr>
          <w:rFonts w:hint="eastAsia" w:ascii="Times New Roman" w:hAnsi="Times New Roman" w:cs="Times New Roman"/>
          <w:b w:val="0"/>
          <w:bCs w:val="0"/>
          <w:sz w:val="24"/>
          <w:szCs w:val="24"/>
          <w:highlight w:val="none"/>
          <w:lang w:val="en-US" w:eastAsia="zh-CN" w:bidi="zh-CN"/>
        </w:rPr>
        <w:t>减少</w:t>
      </w:r>
      <w:r>
        <w:rPr>
          <w:rFonts w:hint="default" w:ascii="Times New Roman" w:hAnsi="Times New Roman" w:cs="Times New Roman"/>
          <w:b w:val="0"/>
          <w:bCs w:val="0"/>
          <w:sz w:val="24"/>
          <w:szCs w:val="24"/>
          <w:highlight w:val="none"/>
          <w:lang w:val="en-US" w:eastAsia="zh-CN" w:bidi="zh-CN"/>
        </w:rPr>
        <w:t>对周围居民影响。</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2）临时堆场及裸露地面二次扬尘</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在风季或刮大风的时候，临时堆土场及路基裸露地面将产生二次扬尘，采用洒水抑尘。二次扬尘采用下述公式进行计算：</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drawing>
          <wp:inline distT="0" distB="0" distL="114300" distR="114300">
            <wp:extent cx="1628775" cy="256540"/>
            <wp:effectExtent l="0" t="0" r="0" b="1143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7"/>
                    <a:stretch>
                      <a:fillRect/>
                    </a:stretch>
                  </pic:blipFill>
                  <pic:spPr>
                    <a:xfrm>
                      <a:off x="0" y="0"/>
                      <a:ext cx="1628775" cy="256540"/>
                    </a:xfrm>
                    <a:prstGeom prst="rect">
                      <a:avLst/>
                    </a:prstGeom>
                    <a:noFill/>
                    <a:ln>
                      <a:noFill/>
                    </a:ln>
                  </pic:spPr>
                </pic:pic>
              </a:graphicData>
            </a:graphic>
          </wp:inline>
        </w:drawing>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式中：Q——起尘强度，mg/s；</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U——地面年平均风速m/s，1.1m/s；</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S——裸露场地表面积，m</w:t>
      </w:r>
      <w:r>
        <w:rPr>
          <w:rFonts w:hint="default" w:ascii="Times New Roman" w:hAnsi="Times New Roman" w:cs="Times New Roman"/>
          <w:b w:val="0"/>
          <w:bCs w:val="0"/>
          <w:sz w:val="24"/>
          <w:szCs w:val="24"/>
          <w:highlight w:val="none"/>
          <w:vertAlign w:val="superscript"/>
          <w:lang w:val="en-US" w:eastAsia="zh-CN" w:bidi="zh-CN"/>
        </w:rPr>
        <w:t>2</w:t>
      </w:r>
      <w:r>
        <w:rPr>
          <w:rFonts w:hint="default" w:ascii="Times New Roman" w:hAnsi="Times New Roman" w:cs="Times New Roman"/>
          <w:b w:val="0"/>
          <w:bCs w:val="0"/>
          <w:sz w:val="24"/>
          <w:szCs w:val="24"/>
          <w:highlight w:val="none"/>
          <w:lang w:val="en-US" w:eastAsia="zh-CN" w:bidi="zh-CN"/>
        </w:rPr>
        <w:t>；（裸露地表面积以占地面积的30%计，约4.7万m²）；</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W——地表含水率，%；本次环评洒水前取3%，洒水后取6%；</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经计算，此处起尘量为595.6mg/s，项目施工期约为13个月，起风时间预计4h/d，二次扬尘起尘量共计3.38t/施工期。</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路基裸露地面采用洒水车洒水（每个施工区每天洒水4次），取土场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弃渣场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临时堆土场同时采用防尘布覆盖，采用洒水降尘。</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（2）汽车运输扬尘</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汽车运输扬尘主要是由运输车辆行驶产生，与道路路面及车辆行驶速度有关，在完全干燥情况下，按经验公式计算：</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drawing>
          <wp:inline distT="0" distB="0" distL="114300" distR="114300">
            <wp:extent cx="2124075" cy="440690"/>
            <wp:effectExtent l="0" t="0" r="0" b="16510"/>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pic:cNvPicPr>
                  </pic:nvPicPr>
                  <pic:blipFill>
                    <a:blip r:embed="rId28"/>
                    <a:stretch>
                      <a:fillRect/>
                    </a:stretch>
                  </pic:blipFill>
                  <pic:spPr>
                    <a:xfrm>
                      <a:off x="0" y="0"/>
                      <a:ext cx="2124075" cy="440690"/>
                    </a:xfrm>
                    <a:prstGeom prst="rect">
                      <a:avLst/>
                    </a:prstGeom>
                    <a:noFill/>
                    <a:ln>
                      <a:noFill/>
                    </a:ln>
                  </pic:spPr>
                </pic:pic>
              </a:graphicData>
            </a:graphic>
          </wp:inline>
        </w:drawing>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drawing>
          <wp:inline distT="0" distB="0" distL="114300" distR="114300">
            <wp:extent cx="1048385" cy="387985"/>
            <wp:effectExtent l="0" t="0" r="18415" b="12700"/>
            <wp:docPr id="2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pic:cNvPicPr>
                      <a:picLocks noChangeAspect="1"/>
                    </pic:cNvPicPr>
                  </pic:nvPicPr>
                  <pic:blipFill>
                    <a:blip r:embed="rId29"/>
                    <a:stretch>
                      <a:fillRect/>
                    </a:stretch>
                  </pic:blipFill>
                  <pic:spPr>
                    <a:xfrm>
                      <a:off x="0" y="0"/>
                      <a:ext cx="1048385" cy="387985"/>
                    </a:xfrm>
                    <a:prstGeom prst="rect">
                      <a:avLst/>
                    </a:prstGeom>
                    <a:noFill/>
                    <a:ln>
                      <a:noFill/>
                    </a:ln>
                  </pic:spPr>
                </pic:pic>
              </a:graphicData>
            </a:graphic>
          </wp:inline>
        </w:drawing>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式中：Qy—交通运输起尘量，kg/km·辆；</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Qt—交通途中起尘量，kg；</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V—汽车速度，km/h，空车20km/h，载重后10km/h；</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P—路面状况，以每平方米路面灰尘覆盖率表示，kg/m</w:t>
      </w:r>
      <w:r>
        <w:rPr>
          <w:rFonts w:hint="default" w:ascii="Times New Roman" w:hAnsi="Times New Roman" w:cs="Times New Roman"/>
          <w:b w:val="0"/>
          <w:bCs w:val="0"/>
          <w:sz w:val="24"/>
          <w:szCs w:val="24"/>
          <w:highlight w:val="none"/>
          <w:vertAlign w:val="superscript"/>
          <w:lang w:val="en-US" w:eastAsia="zh-CN" w:bidi="zh-CN"/>
        </w:rPr>
        <w:t>2</w:t>
      </w:r>
      <w:r>
        <w:rPr>
          <w:rFonts w:hint="default" w:ascii="Times New Roman" w:hAnsi="Times New Roman" w:cs="Times New Roman"/>
          <w:b w:val="0"/>
          <w:bCs w:val="0"/>
          <w:sz w:val="24"/>
          <w:szCs w:val="24"/>
          <w:highlight w:val="none"/>
          <w:lang w:val="en-US" w:eastAsia="zh-CN" w:bidi="zh-CN"/>
        </w:rPr>
        <w:t>，本次环评洒水前取值0.15kg/m²，洒水后取值0.05kg/m²；</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M—车辆载重，t/辆，空车自重10t，载重后总重30t；</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L—运输距离，km；</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Q—运输量，t，本项目运输量约为70万t。</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由于土石方的产生点分布于整个路线，项目区内汽车的平均运距约1.0km，运输总量约70万t（场地内调运）。在不采取控制措施的情况下通过经验公式计算得，本项目施工期间汽车运输过程中扬尘的产生量为6.57t/施工期。通过场地洒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限速行驶</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出场冲洗车辆</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运输车辆加盖篷布等措施，可有效减少交通运输扬尘排放量。</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（3）施工机械及施工车辆尾气</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施工过程中产生的车辆及施工机械尾气主要含CO</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碳氢化合物</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NO</w:t>
      </w:r>
      <w:r>
        <w:rPr>
          <w:rFonts w:hint="default" w:ascii="Times New Roman" w:hAnsi="Times New Roman" w:cs="Times New Roman"/>
          <w:b w:val="0"/>
          <w:bCs w:val="0"/>
          <w:sz w:val="24"/>
          <w:szCs w:val="24"/>
          <w:highlight w:val="none"/>
          <w:vertAlign w:val="subscript"/>
          <w:lang w:val="en-US" w:eastAsia="zh-CN" w:bidi="zh-CN"/>
        </w:rPr>
        <w:t>2</w:t>
      </w:r>
      <w:r>
        <w:rPr>
          <w:rFonts w:hint="default" w:ascii="Times New Roman" w:hAnsi="Times New Roman" w:cs="Times New Roman"/>
          <w:b w:val="0"/>
          <w:bCs w:val="0"/>
          <w:sz w:val="24"/>
          <w:szCs w:val="24"/>
          <w:highlight w:val="none"/>
          <w:lang w:val="en-US" w:eastAsia="zh-CN" w:bidi="zh-CN"/>
        </w:rPr>
        <w:t>等污染物。本项目汽车运输和施工机具尾气主要对作业点周围和运输路线两侧局部范围产生影响。</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（4）沥青烟气</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本项目全线采用沥青混凝土路面，所有沥青混凝土均外购商品沥青混凝土，不进行现场搅拌，所有工程涉及的混凝土预制件均外购成品件，由厂家在混凝土预制厂内预制，不在现场设置混凝土搅拌站及预制场，购买的商品沥青混凝土通过保温车运输至施工现场进行路面铺设，沥青烟主要产生于沥青路面摊铺时的热油蒸发等，产生量较小。</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根据《公路沥青路面施工技术规范》（JTGF40-2004），环评要求沥青面层连续施工，避免与可能污染沥青层的其他工序交叉干扰，以杜绝施工和运输污染。沥青路面施工过程中应做好施工人员的个人防护（如戴口罩</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施工人员站在上风向等），劝导无关施工人员和周围居民远离施工路段。项目直接购买成品沥青混凝土，严格控制操作温度，沥青面层施工产生的沥青烟经大气自然扩散后，不会对周边大气环境产生明显影响。</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施工单位</w:t>
      </w:r>
      <w:r>
        <w:rPr>
          <w:rFonts w:hint="eastAsia" w:ascii="Times New Roman" w:hAnsi="Times New Roman" w:cs="Times New Roman"/>
          <w:b w:val="0"/>
          <w:bCs w:val="0"/>
          <w:sz w:val="24"/>
          <w:szCs w:val="24"/>
          <w:highlight w:val="none"/>
          <w:lang w:val="en-US" w:eastAsia="zh-CN" w:bidi="zh-CN"/>
        </w:rPr>
        <w:t>必须</w:t>
      </w:r>
      <w:r>
        <w:rPr>
          <w:rFonts w:hint="default" w:ascii="Times New Roman" w:hAnsi="Times New Roman" w:cs="Times New Roman"/>
          <w:b w:val="0"/>
          <w:bCs w:val="0"/>
          <w:sz w:val="24"/>
          <w:szCs w:val="24"/>
          <w:highlight w:val="none"/>
          <w:lang w:val="en-US" w:eastAsia="zh-CN" w:bidi="zh-CN"/>
        </w:rPr>
        <w:t>严格按照《四川省〈中华人民共和国大气污染防治法〉实施办法》中的相关要求加强施工场地扬尘的控制，全面督查建筑工地现场管理“六必须”</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“六不准”的执行情况，即：必须打围作业</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必须硬化道路</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必须设置冲洗设施</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必须湿法作业</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必须配齐保洁人员</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必须定时清扫施工现场；不准车辆带泥出门，不准运渣车辆冒顶装载</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不准高空抛撒建渣</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不准现场搅拌混凝土</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不准场地积水</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不准现场焚烧废弃物。同时，严格按照《关于印发四川省建筑程扬尘污染防治技术导则（试行）的通知》川建发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2019</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16号），做好施工现场扬尘防护工作，做好施工大气污染防治，严格落实“六个百分百”，包括：工地周边围挡</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物料堆放覆盖</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出入车辆冲洗</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施工现场道路及材料堆场硬化</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工地湿法作业及渣土车辆密闭运输。</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通过采取上述防治措施，将施工期产生的废气进行有效控制，类比同类型工程，本项目施工期土方开挖/土方回填阶段扬尘无组织排放最大处浓度预计在0.5mg/m³左右，其他工程阶段扬尘无组织排放最大处浓度预计在0.15mg/m³左右，均可满足《四川省施工场地扬尘排放标准》（DB51/2682-2020）中所在区域各施工阶段排放限值要求。不会对大气环境产生太大影响。</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2</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营运期</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营运期大气污染物主要是行驶汽车排放的尾气，汽车排放尾气中NO</w:t>
      </w:r>
      <w:r>
        <w:rPr>
          <w:rFonts w:hint="default" w:ascii="Times New Roman" w:hAnsi="Times New Roman" w:cs="Times New Roman"/>
          <w:b w:val="0"/>
          <w:bCs w:val="0"/>
          <w:sz w:val="24"/>
          <w:szCs w:val="24"/>
          <w:highlight w:val="none"/>
          <w:vertAlign w:val="subscript"/>
          <w:lang w:val="en-US" w:eastAsia="zh-CN" w:bidi="zh-CN"/>
        </w:rPr>
        <w:t>2</w:t>
      </w:r>
      <w:r>
        <w:rPr>
          <w:rFonts w:hint="default" w:ascii="Times New Roman" w:hAnsi="Times New Roman" w:cs="Times New Roman"/>
          <w:b w:val="0"/>
          <w:bCs w:val="0"/>
          <w:sz w:val="24"/>
          <w:szCs w:val="24"/>
          <w:highlight w:val="none"/>
          <w:lang w:val="en-US" w:eastAsia="zh-CN" w:bidi="zh-CN"/>
        </w:rPr>
        <w:t>的日均排放量可按下式计算：</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m:oMathPara>
        <m:oMath>
          <m:r>
            <m:rPr>
              <m:sty m:val="p"/>
            </m:rPr>
            <w:rPr>
              <w:rFonts w:hint="default" w:ascii="Cambria Math" w:hAnsi="Cambria Math" w:cs="Times New Roman"/>
              <w:sz w:val="24"/>
              <w:szCs w:val="24"/>
              <w:highlight w:val="none"/>
              <w:lang w:val="en-US" w:eastAsia="zh-CN" w:bidi="zh-CN"/>
            </w:rPr>
            <m:t>Q=</m:t>
          </m:r>
          <m:nary>
            <m:naryPr>
              <m:chr m:val="∑"/>
              <m:limLoc m:val="undOvr"/>
              <m:ctrlPr>
                <w:rPr>
                  <w:rFonts w:hint="default" w:ascii="Cambria Math" w:hAnsi="Cambria Math" w:cs="Times New Roman"/>
                  <w:b w:val="0"/>
                  <w:bCs w:val="0"/>
                  <w:sz w:val="24"/>
                  <w:szCs w:val="24"/>
                  <w:highlight w:val="none"/>
                  <w:lang w:val="en-US" w:eastAsia="zh-CN" w:bidi="zh-CN"/>
                </w:rPr>
              </m:ctrlPr>
            </m:naryPr>
            <m:sub>
              <m:r>
                <m:rPr>
                  <m:sty m:val="p"/>
                </m:rPr>
                <w:rPr>
                  <w:rFonts w:hint="default" w:ascii="Cambria Math" w:hAnsi="Cambria Math" w:cs="Times New Roman"/>
                  <w:sz w:val="24"/>
                  <w:szCs w:val="24"/>
                  <w:highlight w:val="none"/>
                  <w:lang w:val="en-US" w:eastAsia="zh-CN" w:bidi="zh-CN"/>
                </w:rPr>
                <m:t>i=1</m:t>
              </m:r>
              <m:ctrlPr>
                <w:rPr>
                  <w:rFonts w:hint="default" w:ascii="Cambria Math" w:hAnsi="Cambria Math" w:cs="Times New Roman"/>
                  <w:b w:val="0"/>
                  <w:bCs w:val="0"/>
                  <w:sz w:val="24"/>
                  <w:szCs w:val="24"/>
                  <w:highlight w:val="none"/>
                  <w:lang w:val="en-US" w:eastAsia="zh-CN" w:bidi="zh-CN"/>
                </w:rPr>
              </m:ctrlPr>
            </m:sub>
            <m:sup>
              <m:r>
                <m:rPr>
                  <m:sty m:val="p"/>
                </m:rPr>
                <w:rPr>
                  <w:rFonts w:hint="default" w:ascii="Cambria Math" w:hAnsi="Cambria Math" w:cs="Times New Roman"/>
                  <w:sz w:val="24"/>
                  <w:szCs w:val="24"/>
                  <w:highlight w:val="none"/>
                  <w:lang w:val="en-US" w:eastAsia="zh-CN" w:bidi="zh-CN"/>
                </w:rPr>
                <m:t>3</m:t>
              </m:r>
              <m:ctrlPr>
                <w:rPr>
                  <w:rFonts w:hint="default" w:ascii="Cambria Math" w:hAnsi="Cambria Math" w:cs="Times New Roman"/>
                  <w:b w:val="0"/>
                  <w:bCs w:val="0"/>
                  <w:sz w:val="24"/>
                  <w:szCs w:val="24"/>
                  <w:highlight w:val="none"/>
                  <w:lang w:val="en-US" w:eastAsia="zh-CN" w:bidi="zh-CN"/>
                </w:rPr>
              </m:ctrlPr>
            </m:sup>
            <m:e>
              <m:r>
                <m:rPr>
                  <m:sty m:val="p"/>
                </m:rPr>
                <w:rPr>
                  <w:rFonts w:hint="default" w:ascii="Cambria Math" w:hAnsi="Cambria Math" w:cs="Times New Roman"/>
                  <w:sz w:val="24"/>
                  <w:szCs w:val="24"/>
                  <w:highlight w:val="none"/>
                  <w:lang w:val="en-US" w:eastAsia="zh-CN" w:bidi="zh-CN"/>
                </w:rPr>
                <m:t>B</m:t>
              </m:r>
              <m:sSub>
                <m:sSubPr>
                  <m:ctrlPr>
                    <w:rPr>
                      <w:rFonts w:hint="default" w:ascii="Cambria Math" w:hAnsi="Cambria Math" w:cs="Times New Roman"/>
                      <w:b w:val="0"/>
                      <w:bCs w:val="0"/>
                      <w:sz w:val="24"/>
                      <w:szCs w:val="24"/>
                      <w:highlight w:val="none"/>
                      <w:lang w:val="en-US" w:eastAsia="zh-CN" w:bidi="zh-CN"/>
                    </w:rPr>
                  </m:ctrlPr>
                </m:sSubPr>
                <m:e>
                  <m:r>
                    <m:rPr>
                      <m:sty m:val="p"/>
                    </m:rPr>
                    <w:rPr>
                      <w:rFonts w:hint="default" w:ascii="Cambria Math" w:hAnsi="Cambria Math" w:cs="Times New Roman"/>
                      <w:sz w:val="24"/>
                      <w:szCs w:val="24"/>
                      <w:highlight w:val="none"/>
                      <w:lang w:val="en-US" w:eastAsia="zh-CN" w:bidi="zh-CN"/>
                    </w:rPr>
                    <m:t>A</m:t>
                  </m:r>
                  <m:ctrlPr>
                    <w:rPr>
                      <w:rFonts w:hint="default" w:ascii="Cambria Math" w:hAnsi="Cambria Math" w:cs="Times New Roman"/>
                      <w:b w:val="0"/>
                      <w:bCs w:val="0"/>
                      <w:sz w:val="24"/>
                      <w:szCs w:val="24"/>
                      <w:highlight w:val="none"/>
                      <w:lang w:val="en-US" w:eastAsia="zh-CN" w:bidi="zh-CN"/>
                    </w:rPr>
                  </m:ctrlPr>
                </m:e>
                <m:sub>
                  <m:r>
                    <m:rPr>
                      <m:sty m:val="p"/>
                    </m:rPr>
                    <w:rPr>
                      <w:rFonts w:hint="default" w:ascii="Cambria Math" w:hAnsi="Cambria Math" w:cs="Times New Roman"/>
                      <w:sz w:val="24"/>
                      <w:szCs w:val="24"/>
                      <w:highlight w:val="none"/>
                      <w:lang w:val="en-US" w:eastAsia="zh-CN" w:bidi="zh-CN"/>
                    </w:rPr>
                    <m:t>i</m:t>
                  </m:r>
                  <m:ctrlPr>
                    <w:rPr>
                      <w:rFonts w:hint="default" w:ascii="Cambria Math" w:hAnsi="Cambria Math" w:cs="Times New Roman"/>
                      <w:b w:val="0"/>
                      <w:bCs w:val="0"/>
                      <w:sz w:val="24"/>
                      <w:szCs w:val="24"/>
                      <w:highlight w:val="none"/>
                      <w:lang w:val="en-US" w:eastAsia="zh-CN" w:bidi="zh-CN"/>
                    </w:rPr>
                  </m:ctrlPr>
                </m:sub>
              </m:sSub>
              <m:sSub>
                <m:sSubPr>
                  <m:ctrlPr>
                    <w:rPr>
                      <w:rFonts w:hint="default" w:ascii="Cambria Math" w:hAnsi="Cambria Math" w:cs="Times New Roman"/>
                      <w:b w:val="0"/>
                      <w:bCs w:val="0"/>
                      <w:sz w:val="24"/>
                      <w:szCs w:val="24"/>
                      <w:highlight w:val="none"/>
                      <w:lang w:val="en-US" w:eastAsia="zh-CN" w:bidi="zh-CN"/>
                    </w:rPr>
                  </m:ctrlPr>
                </m:sSubPr>
                <m:e>
                  <m:r>
                    <m:rPr>
                      <m:sty m:val="p"/>
                    </m:rPr>
                    <w:rPr>
                      <w:rFonts w:hint="default" w:ascii="Cambria Math" w:hAnsi="Cambria Math" w:cs="Times New Roman"/>
                      <w:sz w:val="24"/>
                      <w:szCs w:val="24"/>
                      <w:highlight w:val="none"/>
                      <w:lang w:val="en-US" w:eastAsia="zh-CN" w:bidi="zh-CN"/>
                    </w:rPr>
                    <m:t>E</m:t>
                  </m:r>
                  <m:ctrlPr>
                    <w:rPr>
                      <w:rFonts w:hint="default" w:ascii="Cambria Math" w:hAnsi="Cambria Math" w:cs="Times New Roman"/>
                      <w:b w:val="0"/>
                      <w:bCs w:val="0"/>
                      <w:sz w:val="24"/>
                      <w:szCs w:val="24"/>
                      <w:highlight w:val="none"/>
                      <w:lang w:val="en-US" w:eastAsia="zh-CN" w:bidi="zh-CN"/>
                    </w:rPr>
                  </m:ctrlPr>
                </m:e>
                <m:sub>
                  <m:r>
                    <m:rPr>
                      <m:sty m:val="p"/>
                    </m:rPr>
                    <w:rPr>
                      <w:rFonts w:hint="default" w:ascii="Cambria Math" w:hAnsi="Cambria Math" w:cs="Times New Roman"/>
                      <w:sz w:val="24"/>
                      <w:szCs w:val="24"/>
                      <w:highlight w:val="none"/>
                      <w:lang w:val="en-US" w:eastAsia="zh-CN" w:bidi="zh-CN"/>
                    </w:rPr>
                    <m:t>ij</m:t>
                  </m:r>
                  <m:ctrlPr>
                    <w:rPr>
                      <w:rFonts w:hint="default" w:ascii="Cambria Math" w:hAnsi="Cambria Math" w:cs="Times New Roman"/>
                      <w:b w:val="0"/>
                      <w:bCs w:val="0"/>
                      <w:sz w:val="24"/>
                      <w:szCs w:val="24"/>
                      <w:highlight w:val="none"/>
                      <w:lang w:val="en-US" w:eastAsia="zh-CN" w:bidi="zh-CN"/>
                    </w:rPr>
                  </m:ctrlPr>
                </m:sub>
              </m:sSub>
              <m:ctrlPr>
                <w:rPr>
                  <w:rFonts w:hint="default" w:ascii="Cambria Math" w:hAnsi="Cambria Math" w:cs="Times New Roman"/>
                  <w:b w:val="0"/>
                  <w:bCs w:val="0"/>
                  <w:sz w:val="24"/>
                  <w:szCs w:val="24"/>
                  <w:highlight w:val="none"/>
                  <w:lang w:val="en-US" w:eastAsia="zh-CN" w:bidi="zh-CN"/>
                </w:rPr>
              </m:ctrlPr>
            </m:e>
          </m:nary>
        </m:oMath>
      </m:oMathPara>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式中：</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Q</w:t>
      </w:r>
      <w:r>
        <w:rPr>
          <w:rFonts w:hint="default" w:ascii="Times New Roman" w:hAnsi="Times New Roman" w:cs="Times New Roman"/>
          <w:b w:val="0"/>
          <w:bCs w:val="0"/>
          <w:sz w:val="24"/>
          <w:szCs w:val="24"/>
          <w:highlight w:val="none"/>
          <w:vertAlign w:val="subscript"/>
          <w:lang w:val="en-US" w:eastAsia="zh-CN" w:bidi="zh-CN"/>
        </w:rPr>
        <w:t>j</w:t>
      </w:r>
      <w:r>
        <w:rPr>
          <w:rFonts w:hint="default" w:ascii="Times New Roman" w:hAnsi="Times New Roman" w:cs="Times New Roman"/>
          <w:b w:val="0"/>
          <w:bCs w:val="0"/>
          <w:sz w:val="24"/>
          <w:szCs w:val="24"/>
          <w:highlight w:val="none"/>
          <w:lang w:val="en-US" w:eastAsia="zh-CN" w:bidi="zh-CN"/>
        </w:rPr>
        <w:t>── 行驶汽车在一定车速下排放的 j 种污染物源强，mg/(m·s) ；</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A</w:t>
      </w:r>
      <w:r>
        <w:rPr>
          <w:rFonts w:hint="default" w:ascii="Times New Roman" w:hAnsi="Times New Roman" w:cs="Times New Roman"/>
          <w:b w:val="0"/>
          <w:bCs w:val="0"/>
          <w:sz w:val="24"/>
          <w:szCs w:val="24"/>
          <w:highlight w:val="none"/>
          <w:vertAlign w:val="subscript"/>
          <w:lang w:val="en-US" w:eastAsia="zh-CN" w:bidi="zh-CN"/>
        </w:rPr>
        <w:t>i</w:t>
      </w:r>
      <w:r>
        <w:rPr>
          <w:rFonts w:hint="default" w:ascii="Times New Roman" w:hAnsi="Times New Roman" w:cs="Times New Roman"/>
          <w:b w:val="0"/>
          <w:bCs w:val="0"/>
          <w:sz w:val="24"/>
          <w:szCs w:val="24"/>
          <w:highlight w:val="none"/>
          <w:lang w:val="en-US" w:eastAsia="zh-CN" w:bidi="zh-CN"/>
        </w:rPr>
        <w:t>── i 种车型的小时交通量，辆/h；</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B ── NO</w:t>
      </w:r>
      <w:r>
        <w:rPr>
          <w:rFonts w:hint="default" w:ascii="Times New Roman" w:hAnsi="Times New Roman" w:cs="Times New Roman"/>
          <w:b w:val="0"/>
          <w:bCs w:val="0"/>
          <w:sz w:val="24"/>
          <w:szCs w:val="24"/>
          <w:highlight w:val="none"/>
          <w:vertAlign w:val="subscript"/>
          <w:lang w:val="en-US" w:eastAsia="zh-CN" w:bidi="zh-CN"/>
        </w:rPr>
        <w:t>X</w:t>
      </w:r>
      <w:r>
        <w:rPr>
          <w:rFonts w:hint="default" w:ascii="Times New Roman" w:hAnsi="Times New Roman" w:cs="Times New Roman"/>
          <w:b w:val="0"/>
          <w:bCs w:val="0"/>
          <w:sz w:val="24"/>
          <w:szCs w:val="24"/>
          <w:highlight w:val="none"/>
          <w:lang w:val="en-US" w:eastAsia="zh-CN" w:bidi="zh-CN"/>
        </w:rPr>
        <w:t xml:space="preserve"> 排放量换算成 NO</w:t>
      </w:r>
      <w:r>
        <w:rPr>
          <w:rFonts w:hint="default" w:ascii="Times New Roman" w:hAnsi="Times New Roman" w:cs="Times New Roman"/>
          <w:b w:val="0"/>
          <w:bCs w:val="0"/>
          <w:sz w:val="24"/>
          <w:szCs w:val="24"/>
          <w:highlight w:val="none"/>
          <w:vertAlign w:val="subscript"/>
          <w:lang w:val="en-US" w:eastAsia="zh-CN" w:bidi="zh-CN"/>
        </w:rPr>
        <w:t>2</w:t>
      </w:r>
      <w:r>
        <w:rPr>
          <w:rFonts w:hint="default" w:ascii="Times New Roman" w:hAnsi="Times New Roman" w:cs="Times New Roman"/>
          <w:b w:val="0"/>
          <w:bCs w:val="0"/>
          <w:sz w:val="24"/>
          <w:szCs w:val="24"/>
          <w:highlight w:val="none"/>
          <w:lang w:val="en-US" w:eastAsia="zh-CN" w:bidi="zh-CN"/>
        </w:rPr>
        <w:t xml:space="preserve"> 排放量的校正系数；</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E</w:t>
      </w:r>
      <w:r>
        <w:rPr>
          <w:rFonts w:hint="default" w:ascii="Times New Roman" w:hAnsi="Times New Roman" w:cs="Times New Roman"/>
          <w:b w:val="0"/>
          <w:bCs w:val="0"/>
          <w:sz w:val="24"/>
          <w:szCs w:val="24"/>
          <w:highlight w:val="none"/>
          <w:vertAlign w:val="subscript"/>
          <w:lang w:val="en-US" w:eastAsia="zh-CN" w:bidi="zh-CN"/>
        </w:rPr>
        <w:t>ij</w:t>
      </w:r>
      <w:r>
        <w:rPr>
          <w:rFonts w:hint="default" w:ascii="Times New Roman" w:hAnsi="Times New Roman" w:cs="Times New Roman"/>
          <w:b w:val="0"/>
          <w:bCs w:val="0"/>
          <w:sz w:val="24"/>
          <w:szCs w:val="24"/>
          <w:highlight w:val="none"/>
          <w:lang w:val="en-US" w:eastAsia="zh-CN" w:bidi="zh-CN"/>
        </w:rPr>
        <w:t>── 单车排放系数，即 i 种车型在一定车速下单车排放的j种污染物量，mg/辆·m ，详见下表所示。</w:t>
      </w:r>
    </w:p>
    <w:p>
      <w:pPr>
        <w:keepNext w:val="0"/>
        <w:keepLines w:val="0"/>
        <w:pageBreakBefore w:val="0"/>
        <w:widowControl w:val="0"/>
        <w:kinsoku/>
        <w:wordWrap/>
        <w:overflowPunct/>
        <w:topLinePunct w:val="0"/>
        <w:autoSpaceDE w:val="0"/>
        <w:autoSpaceDN w:val="0"/>
        <w:bidi w:val="0"/>
        <w:adjustRightInd/>
        <w:snapToGrid/>
        <w:spacing w:before="0" w:after="0"/>
        <w:ind w:left="0" w:right="0" w:firstLine="0"/>
        <w:jc w:val="center"/>
        <w:textAlignment w:val="auto"/>
        <w:rPr>
          <w:rFonts w:hint="default" w:ascii="Times New Roman" w:hAnsi="Times New Roman" w:eastAsia="Times New Roman" w:cs="Times New Roman"/>
          <w:b/>
          <w:sz w:val="21"/>
        </w:rPr>
      </w:pPr>
      <w:r>
        <w:rPr>
          <w:rFonts w:hint="default" w:ascii="Times New Roman" w:hAnsi="Times New Roman" w:cs="Times New Roman"/>
          <w:b/>
          <w:sz w:val="21"/>
        </w:rPr>
        <w:t xml:space="preserve">表 </w:t>
      </w:r>
      <w:r>
        <w:rPr>
          <w:rFonts w:hint="default" w:ascii="Times New Roman" w:hAnsi="Times New Roman" w:eastAsia="Times New Roman" w:cs="Times New Roman"/>
          <w:b/>
          <w:sz w:val="21"/>
        </w:rPr>
        <w:t>2.</w:t>
      </w:r>
      <w:r>
        <w:rPr>
          <w:rFonts w:hint="default" w:ascii="Times New Roman" w:hAnsi="Times New Roman" w:eastAsia="宋体" w:cs="Times New Roman"/>
          <w:b/>
          <w:sz w:val="21"/>
          <w:lang w:val="en-US" w:eastAsia="zh-CN"/>
        </w:rPr>
        <w:t>1</w:t>
      </w:r>
      <w:r>
        <w:rPr>
          <w:rFonts w:hint="default" w:ascii="Times New Roman" w:hAnsi="Times New Roman" w:eastAsia="Times New Roman" w:cs="Times New Roman"/>
          <w:b/>
          <w:sz w:val="21"/>
        </w:rPr>
        <w:t>3-</w:t>
      </w:r>
      <w:r>
        <w:rPr>
          <w:rFonts w:hint="eastAsia" w:ascii="Times New Roman" w:hAnsi="Times New Roman" w:cs="Times New Roman"/>
          <w:b/>
          <w:sz w:val="21"/>
          <w:lang w:val="en-US" w:eastAsia="zh-CN"/>
        </w:rPr>
        <w:t>7</w:t>
      </w:r>
      <w:r>
        <w:rPr>
          <w:rFonts w:hint="default" w:ascii="Times New Roman" w:hAnsi="Times New Roman" w:eastAsia="Times New Roman" w:cs="Times New Roman"/>
          <w:b/>
          <w:sz w:val="21"/>
        </w:rPr>
        <w:t xml:space="preserve"> </w:t>
      </w:r>
      <w:r>
        <w:rPr>
          <w:rFonts w:hint="default" w:ascii="Times New Roman" w:hAnsi="Times New Roman" w:cs="Times New Roman"/>
          <w:b/>
          <w:sz w:val="21"/>
        </w:rPr>
        <w:t>车辆单车排放因子推荐值单位：</w:t>
      </w:r>
      <w:r>
        <w:rPr>
          <w:rFonts w:hint="default" w:ascii="Times New Roman" w:hAnsi="Times New Roman" w:eastAsia="Times New Roman" w:cs="Times New Roman"/>
          <w:b/>
          <w:sz w:val="21"/>
        </w:rPr>
        <w:t xml:space="preserve">mg / </w:t>
      </w:r>
      <w:r>
        <w:rPr>
          <w:rFonts w:hint="default" w:ascii="Times New Roman" w:hAnsi="Times New Roman" w:cs="Times New Roman"/>
          <w:b/>
          <w:sz w:val="21"/>
        </w:rPr>
        <w:t>辆</w:t>
      </w:r>
      <w:r>
        <w:rPr>
          <w:rFonts w:hint="default" w:ascii="Times New Roman" w:hAnsi="Times New Roman" w:eastAsia="Times New Roman" w:cs="Times New Roman"/>
          <w:b/>
          <w:sz w:val="21"/>
        </w:rPr>
        <w:t>·m</w:t>
      </w:r>
    </w:p>
    <w:tbl>
      <w:tblPr>
        <w:tblStyle w:val="17"/>
        <w:tblW w:w="4762"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538"/>
        <w:gridCol w:w="1470"/>
        <w:gridCol w:w="1178"/>
        <w:gridCol w:w="1178"/>
        <w:gridCol w:w="1178"/>
        <w:gridCol w:w="1180"/>
        <w:gridCol w:w="1178"/>
        <w:gridCol w:w="1171"/>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1951" w:type="dxa"/>
            <w:gridSpan w:val="2"/>
            <w:tcBorders>
              <w:bottom w:val="single" w:color="000000" w:sz="4" w:space="0"/>
              <w:right w:val="single" w:color="000000" w:sz="4" w:space="0"/>
            </w:tcBorders>
            <w:vAlign w:val="center"/>
          </w:tcPr>
          <w:p>
            <w:pPr>
              <w:pStyle w:val="23"/>
              <w:spacing w:before="58" w:line="262" w:lineRule="exact"/>
              <w:ind w:left="122"/>
              <w:jc w:val="center"/>
              <w:rPr>
                <w:rFonts w:hint="default" w:ascii="Times New Roman" w:hAnsi="Times New Roman" w:cs="Times New Roman"/>
                <w:sz w:val="21"/>
                <w:szCs w:val="21"/>
              </w:rPr>
            </w:pPr>
            <w:r>
              <w:rPr>
                <w:rFonts w:hint="default" w:ascii="Times New Roman" w:hAnsi="Times New Roman" w:eastAsia="宋体" w:cs="Times New Roman"/>
                <w:sz w:val="21"/>
                <w:szCs w:val="21"/>
              </w:rPr>
              <w:t>平均车速</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km/h</w:t>
            </w:r>
            <w:r>
              <w:rPr>
                <w:rFonts w:hint="eastAsia" w:ascii="Times New Roman" w:hAnsi="Times New Roman" w:eastAsia="宋体" w:cs="Times New Roman"/>
                <w:sz w:val="21"/>
                <w:szCs w:val="21"/>
                <w:lang w:eastAsia="zh-CN"/>
              </w:rPr>
              <w:t>）</w:t>
            </w:r>
          </w:p>
        </w:tc>
        <w:tc>
          <w:tcPr>
            <w:tcW w:w="1144" w:type="dxa"/>
            <w:tcBorders>
              <w:left w:val="single" w:color="000000" w:sz="4" w:space="0"/>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144" w:type="dxa"/>
            <w:tcBorders>
              <w:left w:val="single" w:color="000000" w:sz="4" w:space="0"/>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1144" w:type="dxa"/>
            <w:tcBorders>
              <w:left w:val="single" w:color="000000" w:sz="4" w:space="0"/>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1146" w:type="dxa"/>
            <w:tcBorders>
              <w:left w:val="single" w:color="000000" w:sz="4" w:space="0"/>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144" w:type="dxa"/>
            <w:tcBorders>
              <w:left w:val="single" w:color="000000" w:sz="4" w:space="0"/>
              <w:bottom w:val="single" w:color="000000" w:sz="4" w:space="0"/>
              <w:right w:val="single" w:color="000000" w:sz="4" w:space="0"/>
            </w:tcBorders>
            <w:vAlign w:val="center"/>
          </w:tcPr>
          <w:p>
            <w:pPr>
              <w:pStyle w:val="23"/>
              <w:spacing w:before="72"/>
              <w:ind w:left="115"/>
              <w:jc w:val="center"/>
              <w:rPr>
                <w:rFonts w:hint="default" w:ascii="Times New Roman" w:hAnsi="Times New Roman" w:cs="Times New Roman"/>
                <w:sz w:val="21"/>
                <w:szCs w:val="21"/>
              </w:rPr>
            </w:pPr>
            <w:r>
              <w:rPr>
                <w:rFonts w:hint="default" w:ascii="Times New Roman" w:hAnsi="Times New Roman" w:cs="Times New Roman"/>
                <w:sz w:val="21"/>
                <w:szCs w:val="21"/>
              </w:rPr>
              <w:t>90</w:t>
            </w:r>
          </w:p>
        </w:tc>
        <w:tc>
          <w:tcPr>
            <w:tcW w:w="1138" w:type="dxa"/>
            <w:tcBorders>
              <w:left w:val="single" w:color="000000" w:sz="4" w:space="0"/>
              <w:bottom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523" w:type="dxa"/>
            <w:vMerge w:val="restart"/>
            <w:tcBorders>
              <w:top w:val="single" w:color="000000" w:sz="4" w:space="0"/>
              <w:bottom w:val="single" w:color="000000" w:sz="4" w:space="0"/>
              <w:right w:val="single" w:color="000000" w:sz="4" w:space="0"/>
            </w:tcBorders>
            <w:vAlign w:val="center"/>
          </w:tcPr>
          <w:p>
            <w:pPr>
              <w:pStyle w:val="23"/>
              <w:spacing w:before="46"/>
              <w:ind w:left="122"/>
              <w:jc w:val="center"/>
              <w:rPr>
                <w:rFonts w:hint="default" w:ascii="Times New Roman" w:hAnsi="Times New Roman" w:eastAsia="宋体" w:cs="Times New Roman"/>
                <w:w w:val="100"/>
                <w:sz w:val="21"/>
                <w:szCs w:val="21"/>
              </w:rPr>
            </w:pPr>
            <w:r>
              <w:rPr>
                <w:rFonts w:hint="default" w:ascii="Times New Roman" w:hAnsi="Times New Roman" w:eastAsia="宋体" w:cs="Times New Roman"/>
                <w:w w:val="100"/>
                <w:sz w:val="21"/>
                <w:szCs w:val="21"/>
              </w:rPr>
              <w:t>小</w:t>
            </w:r>
          </w:p>
          <w:p>
            <w:pPr>
              <w:pStyle w:val="23"/>
              <w:spacing w:before="46"/>
              <w:ind w:left="12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w:t>
            </w:r>
          </w:p>
          <w:p>
            <w:pPr>
              <w:pStyle w:val="23"/>
              <w:spacing w:before="46"/>
              <w:ind w:left="12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w:t>
            </w:r>
          </w:p>
        </w:tc>
        <w:tc>
          <w:tcPr>
            <w:tcW w:w="1428" w:type="dxa"/>
            <w:tcBorders>
              <w:top w:val="single" w:color="000000" w:sz="4" w:space="0"/>
              <w:left w:val="single" w:color="000000" w:sz="4" w:space="0"/>
              <w:bottom w:val="single" w:color="000000" w:sz="4" w:space="0"/>
              <w:right w:val="single" w:color="000000" w:sz="4" w:space="0"/>
            </w:tcBorders>
            <w:vAlign w:val="center"/>
          </w:tcPr>
          <w:p>
            <w:pPr>
              <w:pStyle w:val="23"/>
              <w:spacing w:before="70"/>
              <w:ind w:left="117"/>
              <w:jc w:val="center"/>
              <w:rPr>
                <w:rFonts w:hint="default" w:ascii="Times New Roman" w:hAnsi="Times New Roman" w:cs="Times New Roman"/>
                <w:sz w:val="21"/>
                <w:szCs w:val="21"/>
              </w:rPr>
            </w:pPr>
            <w:r>
              <w:rPr>
                <w:rFonts w:hint="default" w:ascii="Times New Roman" w:hAnsi="Times New Roman" w:cs="Times New Roman"/>
                <w:sz w:val="21"/>
                <w:szCs w:val="21"/>
              </w:rPr>
              <w:t>CO</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0"/>
              <w:ind w:left="117"/>
              <w:jc w:val="center"/>
              <w:rPr>
                <w:rFonts w:hint="default" w:ascii="Times New Roman" w:hAnsi="Times New Roman" w:cs="Times New Roman"/>
                <w:sz w:val="21"/>
                <w:szCs w:val="21"/>
              </w:rPr>
            </w:pPr>
            <w:r>
              <w:rPr>
                <w:rFonts w:hint="default" w:ascii="Times New Roman" w:hAnsi="Times New Roman" w:cs="Times New Roman"/>
                <w:sz w:val="21"/>
                <w:szCs w:val="21"/>
              </w:rPr>
              <w:t>31.34</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0"/>
              <w:ind w:left="117"/>
              <w:jc w:val="center"/>
              <w:rPr>
                <w:rFonts w:hint="default" w:ascii="Times New Roman" w:hAnsi="Times New Roman" w:cs="Times New Roman"/>
                <w:sz w:val="21"/>
                <w:szCs w:val="21"/>
              </w:rPr>
            </w:pPr>
            <w:r>
              <w:rPr>
                <w:rFonts w:hint="default" w:ascii="Times New Roman" w:hAnsi="Times New Roman" w:cs="Times New Roman"/>
                <w:sz w:val="21"/>
                <w:szCs w:val="21"/>
              </w:rPr>
              <w:t>23.66</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0"/>
              <w:ind w:left="117"/>
              <w:jc w:val="center"/>
              <w:rPr>
                <w:rFonts w:hint="default" w:ascii="Times New Roman" w:hAnsi="Times New Roman" w:cs="Times New Roman"/>
                <w:sz w:val="21"/>
                <w:szCs w:val="21"/>
              </w:rPr>
            </w:pPr>
            <w:r>
              <w:rPr>
                <w:rFonts w:hint="default" w:ascii="Times New Roman" w:hAnsi="Times New Roman" w:cs="Times New Roman"/>
                <w:sz w:val="21"/>
                <w:szCs w:val="21"/>
              </w:rPr>
              <w:t>17.90</w:t>
            </w:r>
          </w:p>
        </w:tc>
        <w:tc>
          <w:tcPr>
            <w:tcW w:w="1146" w:type="dxa"/>
            <w:tcBorders>
              <w:top w:val="single" w:color="000000" w:sz="4" w:space="0"/>
              <w:left w:val="single" w:color="000000" w:sz="4" w:space="0"/>
              <w:bottom w:val="single" w:color="000000" w:sz="4" w:space="0"/>
              <w:right w:val="single" w:color="000000" w:sz="4" w:space="0"/>
            </w:tcBorders>
            <w:vAlign w:val="center"/>
          </w:tcPr>
          <w:p>
            <w:pPr>
              <w:pStyle w:val="23"/>
              <w:spacing w:before="70"/>
              <w:ind w:left="117"/>
              <w:jc w:val="center"/>
              <w:rPr>
                <w:rFonts w:hint="default" w:ascii="Times New Roman" w:hAnsi="Times New Roman" w:cs="Times New Roman"/>
                <w:sz w:val="21"/>
                <w:szCs w:val="21"/>
              </w:rPr>
            </w:pPr>
            <w:r>
              <w:rPr>
                <w:rFonts w:hint="default" w:ascii="Times New Roman" w:hAnsi="Times New Roman" w:cs="Times New Roman"/>
                <w:sz w:val="21"/>
                <w:szCs w:val="21"/>
              </w:rPr>
              <w:t>14.76</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0"/>
              <w:ind w:left="115"/>
              <w:jc w:val="center"/>
              <w:rPr>
                <w:rFonts w:hint="default" w:ascii="Times New Roman" w:hAnsi="Times New Roman" w:cs="Times New Roman"/>
                <w:sz w:val="21"/>
                <w:szCs w:val="21"/>
              </w:rPr>
            </w:pPr>
            <w:r>
              <w:rPr>
                <w:rFonts w:hint="default" w:ascii="Times New Roman" w:hAnsi="Times New Roman" w:cs="Times New Roman"/>
                <w:sz w:val="21"/>
                <w:szCs w:val="21"/>
              </w:rPr>
              <w:t>10.24</w:t>
            </w:r>
          </w:p>
        </w:tc>
        <w:tc>
          <w:tcPr>
            <w:tcW w:w="1138" w:type="dxa"/>
            <w:tcBorders>
              <w:top w:val="single" w:color="000000" w:sz="4" w:space="0"/>
              <w:left w:val="single" w:color="000000" w:sz="4" w:space="0"/>
              <w:bottom w:val="single" w:color="000000" w:sz="4" w:space="0"/>
            </w:tcBorders>
            <w:vAlign w:val="center"/>
          </w:tcPr>
          <w:p>
            <w:pPr>
              <w:pStyle w:val="23"/>
              <w:spacing w:before="70"/>
              <w:ind w:left="117"/>
              <w:jc w:val="center"/>
              <w:rPr>
                <w:rFonts w:hint="default" w:ascii="Times New Roman" w:hAnsi="Times New Roman" w:cs="Times New Roman"/>
                <w:sz w:val="21"/>
                <w:szCs w:val="21"/>
              </w:rPr>
            </w:pPr>
            <w:r>
              <w:rPr>
                <w:rFonts w:hint="default" w:ascii="Times New Roman" w:hAnsi="Times New Roman" w:cs="Times New Roman"/>
                <w:sz w:val="21"/>
                <w:szCs w:val="21"/>
              </w:rPr>
              <w:t>7.72</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09" w:hRule="atLeast"/>
          <w:jc w:val="center"/>
        </w:trPr>
        <w:tc>
          <w:tcPr>
            <w:tcW w:w="523" w:type="dxa"/>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1"/>
                <w:szCs w:val="21"/>
              </w:rPr>
            </w:pPr>
          </w:p>
        </w:tc>
        <w:tc>
          <w:tcPr>
            <w:tcW w:w="1428"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sz w:val="21"/>
                <w:szCs w:val="21"/>
              </w:rPr>
            </w:pPr>
          </w:p>
          <w:p>
            <w:pPr>
              <w:pStyle w:val="23"/>
              <w:ind w:left="117"/>
              <w:jc w:val="center"/>
              <w:rPr>
                <w:rFonts w:hint="default" w:ascii="Times New Roman" w:hAnsi="Times New Roman" w:cs="Times New Roman"/>
                <w:sz w:val="21"/>
                <w:szCs w:val="21"/>
              </w:rPr>
            </w:pPr>
            <w:r>
              <w:rPr>
                <w:rFonts w:hint="default" w:ascii="Times New Roman" w:hAnsi="Times New Roman" w:cs="Times New Roman"/>
                <w:sz w:val="21"/>
                <w:szCs w:val="21"/>
              </w:rPr>
              <w:t>NOx</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sz w:val="21"/>
                <w:szCs w:val="21"/>
              </w:rPr>
            </w:pPr>
          </w:p>
          <w:p>
            <w:pPr>
              <w:pStyle w:val="23"/>
              <w:ind w:left="117"/>
              <w:jc w:val="center"/>
              <w:rPr>
                <w:rFonts w:hint="default" w:ascii="Times New Roman" w:hAnsi="Times New Roman" w:cs="Times New Roman"/>
                <w:sz w:val="21"/>
                <w:szCs w:val="21"/>
              </w:rPr>
            </w:pPr>
            <w:r>
              <w:rPr>
                <w:rFonts w:hint="default" w:ascii="Times New Roman" w:hAnsi="Times New Roman" w:cs="Times New Roman"/>
                <w:sz w:val="21"/>
                <w:szCs w:val="21"/>
              </w:rPr>
              <w:t>1.77</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sz w:val="21"/>
                <w:szCs w:val="21"/>
              </w:rPr>
            </w:pPr>
          </w:p>
          <w:p>
            <w:pPr>
              <w:pStyle w:val="23"/>
              <w:ind w:left="117"/>
              <w:jc w:val="center"/>
              <w:rPr>
                <w:rFonts w:hint="default" w:ascii="Times New Roman" w:hAnsi="Times New Roman" w:cs="Times New Roman"/>
                <w:sz w:val="21"/>
                <w:szCs w:val="21"/>
              </w:rPr>
            </w:pPr>
            <w:r>
              <w:rPr>
                <w:rFonts w:hint="default" w:ascii="Times New Roman" w:hAnsi="Times New Roman" w:cs="Times New Roman"/>
                <w:sz w:val="21"/>
                <w:szCs w:val="21"/>
              </w:rPr>
              <w:t>2.37</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sz w:val="21"/>
                <w:szCs w:val="21"/>
              </w:rPr>
            </w:pPr>
          </w:p>
          <w:p>
            <w:pPr>
              <w:pStyle w:val="23"/>
              <w:ind w:left="117"/>
              <w:jc w:val="center"/>
              <w:rPr>
                <w:rFonts w:hint="default" w:ascii="Times New Roman" w:hAnsi="Times New Roman" w:cs="Times New Roman"/>
                <w:sz w:val="21"/>
                <w:szCs w:val="21"/>
              </w:rPr>
            </w:pPr>
            <w:r>
              <w:rPr>
                <w:rFonts w:hint="default" w:ascii="Times New Roman" w:hAnsi="Times New Roman" w:cs="Times New Roman"/>
                <w:sz w:val="21"/>
                <w:szCs w:val="21"/>
              </w:rPr>
              <w:t>2.96</w:t>
            </w:r>
          </w:p>
        </w:tc>
        <w:tc>
          <w:tcPr>
            <w:tcW w:w="1146"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sz w:val="21"/>
                <w:szCs w:val="21"/>
              </w:rPr>
            </w:pPr>
          </w:p>
          <w:p>
            <w:pPr>
              <w:pStyle w:val="23"/>
              <w:ind w:left="117"/>
              <w:jc w:val="center"/>
              <w:rPr>
                <w:rFonts w:hint="default" w:ascii="Times New Roman" w:hAnsi="Times New Roman" w:cs="Times New Roman"/>
                <w:sz w:val="21"/>
                <w:szCs w:val="21"/>
              </w:rPr>
            </w:pPr>
            <w:r>
              <w:rPr>
                <w:rFonts w:hint="default" w:ascii="Times New Roman" w:hAnsi="Times New Roman" w:cs="Times New Roman"/>
                <w:sz w:val="21"/>
                <w:szCs w:val="21"/>
              </w:rPr>
              <w:t>3.71</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sz w:val="21"/>
                <w:szCs w:val="21"/>
              </w:rPr>
            </w:pPr>
          </w:p>
          <w:p>
            <w:pPr>
              <w:pStyle w:val="23"/>
              <w:ind w:left="115"/>
              <w:jc w:val="center"/>
              <w:rPr>
                <w:rFonts w:hint="default" w:ascii="Times New Roman" w:hAnsi="Times New Roman" w:cs="Times New Roman"/>
                <w:sz w:val="21"/>
                <w:szCs w:val="21"/>
              </w:rPr>
            </w:pPr>
            <w:r>
              <w:rPr>
                <w:rFonts w:hint="default" w:ascii="Times New Roman" w:hAnsi="Times New Roman" w:cs="Times New Roman"/>
                <w:sz w:val="21"/>
                <w:szCs w:val="21"/>
              </w:rPr>
              <w:t>3.85</w:t>
            </w:r>
          </w:p>
        </w:tc>
        <w:tc>
          <w:tcPr>
            <w:tcW w:w="1138" w:type="dxa"/>
            <w:tcBorders>
              <w:top w:val="single" w:color="000000" w:sz="4" w:space="0"/>
              <w:left w:val="single" w:color="000000" w:sz="4" w:space="0"/>
              <w:bottom w:val="single" w:color="000000" w:sz="4" w:space="0"/>
            </w:tcBorders>
            <w:vAlign w:val="center"/>
          </w:tcPr>
          <w:p>
            <w:pPr>
              <w:pStyle w:val="23"/>
              <w:spacing w:before="11"/>
              <w:jc w:val="center"/>
              <w:rPr>
                <w:rFonts w:hint="default" w:ascii="Times New Roman" w:hAnsi="Times New Roman" w:cs="Times New Roman"/>
                <w:b/>
                <w:sz w:val="21"/>
                <w:szCs w:val="21"/>
              </w:rPr>
            </w:pPr>
          </w:p>
          <w:p>
            <w:pPr>
              <w:pStyle w:val="23"/>
              <w:ind w:left="117"/>
              <w:jc w:val="center"/>
              <w:rPr>
                <w:rFonts w:hint="default" w:ascii="Times New Roman" w:hAnsi="Times New Roman" w:cs="Times New Roman"/>
                <w:sz w:val="21"/>
                <w:szCs w:val="21"/>
              </w:rPr>
            </w:pPr>
            <w:r>
              <w:rPr>
                <w:rFonts w:hint="default" w:ascii="Times New Roman" w:hAnsi="Times New Roman" w:cs="Times New Roman"/>
                <w:sz w:val="21"/>
                <w:szCs w:val="21"/>
              </w:rPr>
              <w:t>3.99</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66" w:hRule="atLeast"/>
          <w:jc w:val="center"/>
        </w:trPr>
        <w:tc>
          <w:tcPr>
            <w:tcW w:w="523" w:type="dxa"/>
            <w:vMerge w:val="restart"/>
            <w:tcBorders>
              <w:top w:val="single" w:color="000000" w:sz="4" w:space="0"/>
              <w:right w:val="single" w:color="000000" w:sz="4" w:space="0"/>
            </w:tcBorders>
            <w:vAlign w:val="center"/>
          </w:tcPr>
          <w:p>
            <w:pPr>
              <w:pStyle w:val="23"/>
              <w:spacing w:before="58" w:line="264" w:lineRule="exact"/>
              <w:ind w:left="122"/>
              <w:jc w:val="center"/>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中</w:t>
            </w:r>
          </w:p>
        </w:tc>
        <w:tc>
          <w:tcPr>
            <w:tcW w:w="1428" w:type="dxa"/>
            <w:tcBorders>
              <w:top w:val="single" w:color="000000" w:sz="4" w:space="0"/>
              <w:left w:val="single" w:color="000000" w:sz="4" w:space="0"/>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CO</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30.18</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26.19</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24.76</w:t>
            </w:r>
          </w:p>
        </w:tc>
        <w:tc>
          <w:tcPr>
            <w:tcW w:w="1146" w:type="dxa"/>
            <w:tcBorders>
              <w:top w:val="single" w:color="000000" w:sz="4" w:space="0"/>
              <w:left w:val="single" w:color="000000" w:sz="4" w:space="0"/>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25.47</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2"/>
              <w:ind w:left="115"/>
              <w:jc w:val="center"/>
              <w:rPr>
                <w:rFonts w:hint="default" w:ascii="Times New Roman" w:hAnsi="Times New Roman" w:cs="Times New Roman"/>
                <w:sz w:val="21"/>
                <w:szCs w:val="21"/>
              </w:rPr>
            </w:pPr>
            <w:r>
              <w:rPr>
                <w:rFonts w:hint="default" w:ascii="Times New Roman" w:hAnsi="Times New Roman" w:cs="Times New Roman"/>
                <w:sz w:val="21"/>
                <w:szCs w:val="21"/>
              </w:rPr>
              <w:t>28.55</w:t>
            </w:r>
          </w:p>
        </w:tc>
        <w:tc>
          <w:tcPr>
            <w:tcW w:w="1138" w:type="dxa"/>
            <w:tcBorders>
              <w:top w:val="single" w:color="000000" w:sz="4" w:space="0"/>
              <w:left w:val="single" w:color="000000" w:sz="4" w:space="0"/>
              <w:bottom w:val="single" w:color="000000" w:sz="4" w:space="0"/>
            </w:tcBorders>
            <w:vAlign w:val="center"/>
          </w:tcPr>
          <w:p>
            <w:pPr>
              <w:pStyle w:val="23"/>
              <w:spacing w:before="72"/>
              <w:ind w:left="117"/>
              <w:jc w:val="center"/>
              <w:rPr>
                <w:rFonts w:hint="default" w:ascii="Times New Roman" w:hAnsi="Times New Roman" w:cs="Times New Roman"/>
                <w:sz w:val="21"/>
                <w:szCs w:val="21"/>
              </w:rPr>
            </w:pPr>
            <w:r>
              <w:rPr>
                <w:rFonts w:hint="default" w:ascii="Times New Roman" w:hAnsi="Times New Roman" w:cs="Times New Roman"/>
                <w:sz w:val="21"/>
                <w:szCs w:val="21"/>
              </w:rPr>
              <w:t>34.78</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66" w:hRule="atLeast"/>
          <w:jc w:val="center"/>
        </w:trPr>
        <w:tc>
          <w:tcPr>
            <w:tcW w:w="523" w:type="dxa"/>
            <w:vMerge w:val="continue"/>
            <w:tcBorders>
              <w:bottom w:val="single" w:color="000000" w:sz="4" w:space="0"/>
              <w:right w:val="single" w:color="000000" w:sz="4" w:space="0"/>
            </w:tcBorders>
            <w:vAlign w:val="center"/>
          </w:tcPr>
          <w:p>
            <w:pPr>
              <w:pStyle w:val="23"/>
              <w:spacing w:before="72"/>
              <w:ind w:left="117"/>
              <w:jc w:val="center"/>
              <w:rPr>
                <w:rFonts w:hint="default" w:ascii="Times New Roman" w:hAnsi="Times New Roman" w:cs="Times New Roman"/>
                <w:sz w:val="21"/>
                <w:szCs w:val="21"/>
              </w:rPr>
            </w:pPr>
          </w:p>
        </w:tc>
        <w:tc>
          <w:tcPr>
            <w:tcW w:w="1428"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val="0"/>
                <w:bCs/>
                <w:sz w:val="21"/>
                <w:szCs w:val="21"/>
              </w:rPr>
            </w:pPr>
          </w:p>
          <w:p>
            <w:pPr>
              <w:pStyle w:val="23"/>
              <w:spacing w:before="11"/>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NOx</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val="0"/>
                <w:bCs/>
                <w:sz w:val="21"/>
                <w:szCs w:val="21"/>
              </w:rPr>
            </w:pPr>
          </w:p>
          <w:p>
            <w:pPr>
              <w:pStyle w:val="23"/>
              <w:spacing w:before="11"/>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5.40</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val="0"/>
                <w:bCs/>
                <w:sz w:val="21"/>
                <w:szCs w:val="21"/>
              </w:rPr>
            </w:pPr>
          </w:p>
          <w:p>
            <w:pPr>
              <w:pStyle w:val="23"/>
              <w:spacing w:before="11"/>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6.30</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val="0"/>
                <w:bCs/>
                <w:sz w:val="21"/>
                <w:szCs w:val="21"/>
              </w:rPr>
            </w:pPr>
          </w:p>
          <w:p>
            <w:pPr>
              <w:pStyle w:val="23"/>
              <w:spacing w:before="11"/>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7.20</w:t>
            </w:r>
          </w:p>
        </w:tc>
        <w:tc>
          <w:tcPr>
            <w:tcW w:w="1146"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val="0"/>
                <w:bCs/>
                <w:sz w:val="21"/>
                <w:szCs w:val="21"/>
              </w:rPr>
            </w:pPr>
          </w:p>
          <w:p>
            <w:pPr>
              <w:pStyle w:val="23"/>
              <w:spacing w:before="11"/>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8.30</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11"/>
              <w:jc w:val="center"/>
              <w:rPr>
                <w:rFonts w:hint="default" w:ascii="Times New Roman" w:hAnsi="Times New Roman" w:cs="Times New Roman"/>
                <w:b w:val="0"/>
                <w:bCs/>
                <w:sz w:val="21"/>
                <w:szCs w:val="21"/>
              </w:rPr>
            </w:pPr>
          </w:p>
          <w:p>
            <w:pPr>
              <w:pStyle w:val="23"/>
              <w:spacing w:before="11"/>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8.80</w:t>
            </w:r>
          </w:p>
        </w:tc>
        <w:tc>
          <w:tcPr>
            <w:tcW w:w="1138" w:type="dxa"/>
            <w:tcBorders>
              <w:top w:val="single" w:color="000000" w:sz="4" w:space="0"/>
              <w:left w:val="single" w:color="000000" w:sz="4" w:space="0"/>
              <w:bottom w:val="single" w:color="000000" w:sz="4" w:space="0"/>
            </w:tcBorders>
            <w:vAlign w:val="center"/>
          </w:tcPr>
          <w:p>
            <w:pPr>
              <w:pStyle w:val="23"/>
              <w:spacing w:before="11"/>
              <w:jc w:val="center"/>
              <w:rPr>
                <w:rFonts w:hint="default" w:ascii="Times New Roman" w:hAnsi="Times New Roman" w:cs="Times New Roman"/>
                <w:b w:val="0"/>
                <w:bCs/>
                <w:sz w:val="21"/>
                <w:szCs w:val="21"/>
              </w:rPr>
            </w:pPr>
          </w:p>
          <w:p>
            <w:pPr>
              <w:pStyle w:val="23"/>
              <w:spacing w:before="11"/>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9.30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2" w:hRule="atLeast"/>
          <w:jc w:val="center"/>
        </w:trPr>
        <w:tc>
          <w:tcPr>
            <w:tcW w:w="523" w:type="dxa"/>
            <w:vMerge w:val="restart"/>
            <w:tcBorders>
              <w:top w:val="single" w:color="000000" w:sz="4" w:space="0"/>
              <w:right w:val="single" w:color="000000" w:sz="4" w:space="0"/>
            </w:tcBorders>
            <w:vAlign w:val="center"/>
          </w:tcPr>
          <w:p>
            <w:pPr>
              <w:pStyle w:val="23"/>
              <w:spacing w:before="58" w:line="264" w:lineRule="exact"/>
              <w:ind w:left="122"/>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大</w:t>
            </w:r>
          </w:p>
          <w:p>
            <w:pPr>
              <w:pStyle w:val="23"/>
              <w:spacing w:before="58" w:line="264" w:lineRule="exact"/>
              <w:ind w:left="122"/>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型</w:t>
            </w:r>
          </w:p>
          <w:p>
            <w:pPr>
              <w:pStyle w:val="23"/>
              <w:spacing w:before="58" w:line="264" w:lineRule="exact"/>
              <w:ind w:left="122"/>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车</w:t>
            </w:r>
          </w:p>
        </w:tc>
        <w:tc>
          <w:tcPr>
            <w:tcW w:w="1428" w:type="dxa"/>
            <w:tcBorders>
              <w:top w:val="single" w:color="000000" w:sz="4" w:space="0"/>
              <w:left w:val="single" w:color="000000" w:sz="4" w:space="0"/>
              <w:bottom w:val="single" w:color="000000" w:sz="4" w:space="0"/>
              <w:right w:val="single" w:color="000000" w:sz="4" w:space="0"/>
            </w:tcBorders>
            <w:vAlign w:val="center"/>
          </w:tcPr>
          <w:p>
            <w:pPr>
              <w:pStyle w:val="23"/>
              <w:spacing w:before="70" w:line="240" w:lineRule="exact"/>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CO</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0" w:line="240" w:lineRule="exact"/>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5.52</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0" w:line="240" w:lineRule="exact"/>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4.48</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0" w:line="240" w:lineRule="exact"/>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4.10</w:t>
            </w:r>
          </w:p>
        </w:tc>
        <w:tc>
          <w:tcPr>
            <w:tcW w:w="1146" w:type="dxa"/>
            <w:tcBorders>
              <w:top w:val="single" w:color="000000" w:sz="4" w:space="0"/>
              <w:left w:val="single" w:color="000000" w:sz="4" w:space="0"/>
              <w:bottom w:val="single" w:color="000000" w:sz="4" w:space="0"/>
              <w:right w:val="single" w:color="000000" w:sz="4" w:space="0"/>
            </w:tcBorders>
            <w:vAlign w:val="center"/>
          </w:tcPr>
          <w:p>
            <w:pPr>
              <w:pStyle w:val="23"/>
              <w:spacing w:before="70" w:line="240" w:lineRule="exact"/>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4.01</w:t>
            </w:r>
          </w:p>
        </w:tc>
        <w:tc>
          <w:tcPr>
            <w:tcW w:w="1144" w:type="dxa"/>
            <w:tcBorders>
              <w:top w:val="single" w:color="000000" w:sz="4" w:space="0"/>
              <w:left w:val="single" w:color="000000" w:sz="4" w:space="0"/>
              <w:bottom w:val="single" w:color="000000" w:sz="4" w:space="0"/>
              <w:right w:val="single" w:color="000000" w:sz="4" w:space="0"/>
            </w:tcBorders>
            <w:vAlign w:val="center"/>
          </w:tcPr>
          <w:p>
            <w:pPr>
              <w:pStyle w:val="23"/>
              <w:spacing w:before="70" w:line="240" w:lineRule="exact"/>
              <w:ind w:left="115"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4.23</w:t>
            </w:r>
          </w:p>
        </w:tc>
        <w:tc>
          <w:tcPr>
            <w:tcW w:w="1138" w:type="dxa"/>
            <w:tcBorders>
              <w:top w:val="single" w:color="000000" w:sz="4" w:space="0"/>
              <w:left w:val="single" w:color="000000" w:sz="4" w:space="0"/>
              <w:bottom w:val="single" w:color="000000" w:sz="4" w:space="0"/>
            </w:tcBorders>
            <w:vAlign w:val="center"/>
          </w:tcPr>
          <w:p>
            <w:pPr>
              <w:pStyle w:val="23"/>
              <w:spacing w:before="70" w:line="240" w:lineRule="exact"/>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4.77</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2" w:hRule="atLeast"/>
          <w:jc w:val="center"/>
        </w:trPr>
        <w:tc>
          <w:tcPr>
            <w:tcW w:w="523" w:type="dxa"/>
            <w:vMerge w:val="continue"/>
            <w:tcBorders>
              <w:right w:val="single" w:color="000000" w:sz="4" w:space="0"/>
            </w:tcBorders>
            <w:vAlign w:val="center"/>
          </w:tcPr>
          <w:p>
            <w:pPr>
              <w:pStyle w:val="23"/>
              <w:spacing w:before="58" w:line="264" w:lineRule="exact"/>
              <w:ind w:left="122"/>
              <w:jc w:val="center"/>
              <w:rPr>
                <w:rFonts w:hint="default" w:ascii="Times New Roman" w:hAnsi="Times New Roman" w:eastAsia="宋体" w:cs="Times New Roman"/>
                <w:w w:val="100"/>
                <w:sz w:val="21"/>
                <w:szCs w:val="21"/>
              </w:rPr>
            </w:pPr>
          </w:p>
        </w:tc>
        <w:tc>
          <w:tcPr>
            <w:tcW w:w="1428" w:type="dxa"/>
            <w:tcBorders>
              <w:top w:val="single" w:color="000000" w:sz="4" w:space="0"/>
              <w:left w:val="single" w:color="000000" w:sz="4" w:space="0"/>
              <w:right w:val="single" w:color="000000" w:sz="4" w:space="0"/>
            </w:tcBorders>
            <w:vAlign w:val="center"/>
          </w:tcPr>
          <w:p>
            <w:pPr>
              <w:pStyle w:val="23"/>
              <w:spacing w:before="194"/>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NOx</w:t>
            </w:r>
          </w:p>
        </w:tc>
        <w:tc>
          <w:tcPr>
            <w:tcW w:w="1144" w:type="dxa"/>
            <w:tcBorders>
              <w:top w:val="single" w:color="000000" w:sz="4" w:space="0"/>
              <w:left w:val="single" w:color="000000" w:sz="4" w:space="0"/>
              <w:right w:val="single" w:color="000000" w:sz="4" w:space="0"/>
            </w:tcBorders>
            <w:vAlign w:val="center"/>
          </w:tcPr>
          <w:p>
            <w:pPr>
              <w:pStyle w:val="23"/>
              <w:spacing w:before="194"/>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10.44</w:t>
            </w:r>
          </w:p>
        </w:tc>
        <w:tc>
          <w:tcPr>
            <w:tcW w:w="1144" w:type="dxa"/>
            <w:tcBorders>
              <w:top w:val="single" w:color="000000" w:sz="4" w:space="0"/>
              <w:left w:val="single" w:color="000000" w:sz="4" w:space="0"/>
              <w:right w:val="single" w:color="000000" w:sz="4" w:space="0"/>
            </w:tcBorders>
            <w:vAlign w:val="center"/>
          </w:tcPr>
          <w:p>
            <w:pPr>
              <w:pStyle w:val="23"/>
              <w:spacing w:before="194"/>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10.48</w:t>
            </w:r>
          </w:p>
        </w:tc>
        <w:tc>
          <w:tcPr>
            <w:tcW w:w="1144" w:type="dxa"/>
            <w:tcBorders>
              <w:top w:val="single" w:color="000000" w:sz="4" w:space="0"/>
              <w:left w:val="single" w:color="000000" w:sz="4" w:space="0"/>
              <w:right w:val="single" w:color="000000" w:sz="4" w:space="0"/>
            </w:tcBorders>
            <w:vAlign w:val="center"/>
          </w:tcPr>
          <w:p>
            <w:pPr>
              <w:pStyle w:val="23"/>
              <w:spacing w:before="194"/>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11.10</w:t>
            </w:r>
          </w:p>
        </w:tc>
        <w:tc>
          <w:tcPr>
            <w:tcW w:w="1146" w:type="dxa"/>
            <w:tcBorders>
              <w:top w:val="single" w:color="000000" w:sz="4" w:space="0"/>
              <w:left w:val="single" w:color="000000" w:sz="4" w:space="0"/>
              <w:right w:val="single" w:color="000000" w:sz="4" w:space="0"/>
            </w:tcBorders>
            <w:vAlign w:val="center"/>
          </w:tcPr>
          <w:p>
            <w:pPr>
              <w:pStyle w:val="23"/>
              <w:spacing w:before="194"/>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14.71</w:t>
            </w:r>
          </w:p>
        </w:tc>
        <w:tc>
          <w:tcPr>
            <w:tcW w:w="1144" w:type="dxa"/>
            <w:tcBorders>
              <w:top w:val="single" w:color="000000" w:sz="4" w:space="0"/>
              <w:left w:val="single" w:color="000000" w:sz="4" w:space="0"/>
              <w:right w:val="single" w:color="000000" w:sz="4" w:space="0"/>
            </w:tcBorders>
            <w:vAlign w:val="center"/>
          </w:tcPr>
          <w:p>
            <w:pPr>
              <w:pStyle w:val="23"/>
              <w:spacing w:before="194"/>
              <w:ind w:left="115"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15.64</w:t>
            </w:r>
          </w:p>
        </w:tc>
        <w:tc>
          <w:tcPr>
            <w:tcW w:w="1138" w:type="dxa"/>
            <w:tcBorders>
              <w:top w:val="single" w:color="000000" w:sz="4" w:space="0"/>
              <w:left w:val="single" w:color="000000" w:sz="4" w:space="0"/>
            </w:tcBorders>
            <w:vAlign w:val="center"/>
          </w:tcPr>
          <w:p>
            <w:pPr>
              <w:pStyle w:val="23"/>
              <w:spacing w:before="194"/>
              <w:ind w:left="117" w:leftChars="0" w:right="0" w:rightChars="0"/>
              <w:jc w:val="center"/>
              <w:rPr>
                <w:rFonts w:hint="default" w:ascii="Times New Roman" w:hAnsi="Times New Roman" w:eastAsia="Times New Roman" w:cs="Times New Roman"/>
                <w:sz w:val="21"/>
                <w:szCs w:val="21"/>
                <w:lang w:val="zh-CN" w:eastAsia="zh-CN" w:bidi="zh-CN"/>
              </w:rPr>
            </w:pPr>
            <w:r>
              <w:rPr>
                <w:rFonts w:hint="default" w:ascii="Times New Roman" w:hAnsi="Times New Roman" w:cs="Times New Roman"/>
                <w:sz w:val="21"/>
                <w:szCs w:val="21"/>
              </w:rPr>
              <w:t>18.38</w:t>
            </w:r>
          </w:p>
        </w:tc>
      </w:tr>
    </w:tbl>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由此可计算得本项目大气污染源强，见表2.13-</w:t>
      </w:r>
      <w:r>
        <w:rPr>
          <w:rFonts w:hint="eastAsia" w:ascii="Times New Roman" w:hAnsi="Times New Roman" w:cs="Times New Roman"/>
          <w:b w:val="0"/>
          <w:bCs w:val="0"/>
          <w:sz w:val="24"/>
          <w:szCs w:val="24"/>
          <w:highlight w:val="none"/>
          <w:lang w:val="en-US" w:eastAsia="zh-CN" w:bidi="zh-CN"/>
        </w:rPr>
        <w:t>8</w:t>
      </w:r>
      <w:r>
        <w:rPr>
          <w:rFonts w:hint="default" w:ascii="Times New Roman" w:hAnsi="Times New Roman" w:cs="Times New Roman"/>
          <w:b w:val="0"/>
          <w:bCs w:val="0"/>
          <w:sz w:val="24"/>
          <w:szCs w:val="24"/>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before="0" w:after="0"/>
        <w:ind w:left="0" w:right="0" w:firstLine="0"/>
        <w:jc w:val="center"/>
        <w:textAlignment w:val="auto"/>
        <w:rPr>
          <w:rFonts w:hint="default" w:ascii="Times New Roman" w:hAnsi="Times New Roman" w:cs="Times New Roman"/>
          <w:b/>
          <w:sz w:val="21"/>
          <w:lang w:val="en-US" w:eastAsia="zh-CN"/>
        </w:rPr>
      </w:pPr>
      <w:r>
        <w:rPr>
          <w:rFonts w:hint="default" w:ascii="Times New Roman" w:hAnsi="Times New Roman" w:cs="Times New Roman"/>
          <w:b/>
          <w:sz w:val="21"/>
        </w:rPr>
        <w:t>表 2.</w:t>
      </w:r>
      <w:r>
        <w:rPr>
          <w:rFonts w:hint="default" w:ascii="Times New Roman" w:hAnsi="Times New Roman" w:cs="Times New Roman"/>
          <w:b/>
          <w:sz w:val="21"/>
          <w:lang w:val="en-US" w:eastAsia="zh-CN"/>
        </w:rPr>
        <w:t>1</w:t>
      </w:r>
      <w:r>
        <w:rPr>
          <w:rFonts w:hint="default" w:ascii="Times New Roman" w:hAnsi="Times New Roman" w:cs="Times New Roman"/>
          <w:b/>
          <w:sz w:val="21"/>
        </w:rPr>
        <w:t>3-</w:t>
      </w:r>
      <w:r>
        <w:rPr>
          <w:rFonts w:hint="default" w:ascii="Times New Roman" w:hAnsi="Times New Roman" w:cs="Times New Roman"/>
          <w:b/>
          <w:sz w:val="21"/>
          <w:lang w:val="en-US" w:eastAsia="zh-CN"/>
        </w:rPr>
        <w:t>7</w:t>
      </w:r>
      <w:r>
        <w:rPr>
          <w:rFonts w:hint="default" w:ascii="Times New Roman" w:hAnsi="Times New Roman" w:cs="Times New Roman"/>
          <w:b/>
          <w:sz w:val="21"/>
        </w:rPr>
        <w:t>本项目大气污染物源强计算结果</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1851"/>
        <w:gridCol w:w="1848"/>
        <w:gridCol w:w="1848"/>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路段</w:t>
            </w:r>
          </w:p>
        </w:tc>
        <w:tc>
          <w:tcPr>
            <w:tcW w:w="18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污染物种类</w:t>
            </w:r>
          </w:p>
        </w:tc>
        <w:tc>
          <w:tcPr>
            <w:tcW w:w="5395"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sz w:val="21"/>
                <w:szCs w:val="21"/>
              </w:rPr>
              <w:t>日均排放源强</w:t>
            </w:r>
            <w:r>
              <w:rPr>
                <w:rFonts w:hint="eastAsia" w:ascii="Times New Roman" w:hAnsi="Times New Roman" w:cs="Times New Roman"/>
                <w:sz w:val="21"/>
                <w:szCs w:val="21"/>
                <w:lang w:eastAsia="zh-CN"/>
              </w:rPr>
              <w:t>（</w:t>
            </w:r>
            <w:r>
              <w:rPr>
                <w:rFonts w:hint="default" w:ascii="Times New Roman" w:hAnsi="Times New Roman" w:cs="Times New Roman"/>
                <w:sz w:val="21"/>
                <w:szCs w:val="21"/>
              </w:rPr>
              <w:t>mg/s·m</w:t>
            </w:r>
            <w:r>
              <w:rPr>
                <w:rFonts w:hint="eastAsia"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8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7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近期</w:t>
            </w:r>
          </w:p>
        </w:tc>
        <w:tc>
          <w:tcPr>
            <w:tcW w:w="17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中期</w:t>
            </w:r>
          </w:p>
        </w:tc>
        <w:tc>
          <w:tcPr>
            <w:tcW w:w="179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本项目</w:t>
            </w:r>
          </w:p>
        </w:tc>
        <w:tc>
          <w:tcPr>
            <w:tcW w:w="180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NO</w:t>
            </w:r>
            <w:r>
              <w:rPr>
                <w:rFonts w:hint="default" w:ascii="Times New Roman" w:hAnsi="Times New Roman" w:cs="Times New Roman"/>
                <w:sz w:val="21"/>
                <w:szCs w:val="21"/>
                <w:vertAlign w:val="subscript"/>
                <w:lang w:val="en-US" w:eastAsia="zh-CN"/>
              </w:rPr>
              <w:t>2</w:t>
            </w:r>
          </w:p>
        </w:tc>
        <w:tc>
          <w:tcPr>
            <w:tcW w:w="17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0.21</w:t>
            </w:r>
          </w:p>
        </w:tc>
        <w:tc>
          <w:tcPr>
            <w:tcW w:w="17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0.25</w:t>
            </w:r>
          </w:p>
        </w:tc>
        <w:tc>
          <w:tcPr>
            <w:tcW w:w="179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80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CO</w:t>
            </w:r>
          </w:p>
        </w:tc>
        <w:tc>
          <w:tcPr>
            <w:tcW w:w="17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1.14</w:t>
            </w:r>
          </w:p>
        </w:tc>
        <w:tc>
          <w:tcPr>
            <w:tcW w:w="17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1.37</w:t>
            </w:r>
          </w:p>
        </w:tc>
        <w:tc>
          <w:tcPr>
            <w:tcW w:w="179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1.58</w:t>
            </w:r>
          </w:p>
        </w:tc>
      </w:tr>
    </w:tbl>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根据近几年已建成公路的竣工环境保护验收调查报告的综合结果，汽车尾气对环境的影响范围和程度有限，NO</w:t>
      </w:r>
      <w:r>
        <w:rPr>
          <w:rFonts w:hint="default" w:ascii="Times New Roman" w:hAnsi="Times New Roman" w:cs="Times New Roman"/>
          <w:b w:val="0"/>
          <w:bCs w:val="0"/>
          <w:sz w:val="24"/>
          <w:szCs w:val="24"/>
          <w:highlight w:val="none"/>
          <w:vertAlign w:val="subscript"/>
          <w:lang w:val="en-US" w:eastAsia="zh-CN" w:bidi="zh-CN"/>
        </w:rPr>
        <w:t>2</w:t>
      </w:r>
      <w:r>
        <w:rPr>
          <w:rFonts w:hint="default" w:ascii="Times New Roman" w:hAnsi="Times New Roman" w:cs="Times New Roman"/>
          <w:b w:val="0"/>
          <w:bCs w:val="0"/>
          <w:sz w:val="24"/>
          <w:szCs w:val="24"/>
          <w:highlight w:val="none"/>
          <w:lang w:val="en-US" w:eastAsia="zh-CN" w:bidi="zh-CN"/>
        </w:rPr>
        <w:t>监测结果基本不存在超标现象，且随着我国执行单车排放标准的不断提高，车尾气的排放量将会不断降低。</w:t>
      </w:r>
    </w:p>
    <w:p>
      <w:pPr>
        <w:pStyle w:val="6"/>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3"/>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sz w:val="24"/>
          <w:szCs w:val="24"/>
          <w:lang w:val="en-US" w:eastAsia="zh-CN"/>
        </w:rPr>
        <w:t>2.13.2.3.声环境污染源强分析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工程施工阶段的主要噪声来自于施工过程中施工机械和运输车辆辐射的噪声，具有高噪声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无规律的特点，它对外环境的影响是暂时的，随施工结束而消失。但由于在施工过程中采用的机械设备噪声值很高，如不加以控制，会对附近的居民生活产生较大的影响。</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本项目主要施工机械及施工车辆产生的噪声污染源强见下表。</w:t>
      </w:r>
    </w:p>
    <w:p>
      <w:pPr>
        <w:keepNext w:val="0"/>
        <w:keepLines w:val="0"/>
        <w:pageBreakBefore w:val="0"/>
        <w:widowControl w:val="0"/>
        <w:kinsoku/>
        <w:wordWrap/>
        <w:overflowPunct/>
        <w:topLinePunct w:val="0"/>
        <w:autoSpaceDE w:val="0"/>
        <w:autoSpaceDN w:val="0"/>
        <w:bidi w:val="0"/>
        <w:adjustRightInd/>
        <w:snapToGrid/>
        <w:spacing w:before="0" w:after="0"/>
        <w:ind w:left="0" w:right="0" w:firstLine="0"/>
        <w:jc w:val="center"/>
        <w:textAlignment w:val="auto"/>
        <w:rPr>
          <w:rFonts w:hint="default" w:ascii="Times New Roman" w:hAnsi="Times New Roman" w:cs="Times New Roman"/>
          <w:b/>
          <w:sz w:val="21"/>
        </w:rPr>
      </w:pPr>
      <w:r>
        <w:rPr>
          <w:rFonts w:hint="default" w:ascii="Times New Roman" w:hAnsi="Times New Roman" w:cs="Times New Roman"/>
          <w:b/>
          <w:sz w:val="21"/>
          <w:lang w:val="en-US" w:eastAsia="zh-CN"/>
        </w:rPr>
        <w:t>表2.13-8</w:t>
      </w:r>
      <w:r>
        <w:rPr>
          <w:rFonts w:hint="default" w:ascii="Times New Roman" w:hAnsi="Times New Roman" w:cs="Times New Roman"/>
          <w:b/>
          <w:sz w:val="21"/>
        </w:rPr>
        <w:t>本项目施工主要机械源强</w:t>
      </w:r>
    </w:p>
    <w:tbl>
      <w:tblPr>
        <w:tblStyle w:val="17"/>
        <w:tblW w:w="475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Layout w:type="fixed"/>
        <w:tblCellMar>
          <w:top w:w="0" w:type="dxa"/>
          <w:left w:w="108" w:type="dxa"/>
          <w:bottom w:w="0" w:type="dxa"/>
          <w:right w:w="108" w:type="dxa"/>
        </w:tblCellMar>
      </w:tblPr>
      <w:tblGrid>
        <w:gridCol w:w="1979"/>
        <w:gridCol w:w="1342"/>
        <w:gridCol w:w="1221"/>
        <w:gridCol w:w="3312"/>
        <w:gridCol w:w="1387"/>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机械类型</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数量</w:t>
            </w:r>
          </w:p>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（台/套）</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合成声级dB(A)</w:t>
            </w:r>
          </w:p>
        </w:tc>
        <w:tc>
          <w:tcPr>
            <w:tcW w:w="17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治理措施</w:t>
            </w: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治理后声级dB(A)</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挖掘机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kern w:val="0"/>
                <w:sz w:val="21"/>
                <w:szCs w:val="21"/>
                <w:lang w:val="en-US" w:eastAsia="zh-CN"/>
              </w:rPr>
              <w:t>8</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86</w:t>
            </w:r>
          </w:p>
        </w:tc>
        <w:tc>
          <w:tcPr>
            <w:tcW w:w="179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合理布局</w:t>
            </w:r>
            <w:r>
              <w:rPr>
                <w:rFonts w:hint="eastAsia" w:ascii="Times New Roman" w:hAnsi="Times New Roman" w:cs="Times New Roman"/>
                <w:b w:val="0"/>
                <w:bCs/>
                <w:kern w:val="0"/>
                <w:sz w:val="21"/>
                <w:szCs w:val="21"/>
                <w:lang w:eastAsia="zh-CN"/>
              </w:rPr>
              <w:t>、</w:t>
            </w:r>
            <w:r>
              <w:rPr>
                <w:rFonts w:hint="default" w:ascii="Times New Roman" w:hAnsi="Times New Roman" w:cs="Times New Roman"/>
                <w:b w:val="0"/>
                <w:bCs/>
                <w:kern w:val="0"/>
                <w:sz w:val="21"/>
                <w:szCs w:val="21"/>
              </w:rPr>
              <w:t>低噪设备</w:t>
            </w:r>
            <w:r>
              <w:rPr>
                <w:rFonts w:hint="eastAsia" w:ascii="Times New Roman" w:hAnsi="Times New Roman" w:cs="Times New Roman"/>
                <w:b w:val="0"/>
                <w:bCs/>
                <w:kern w:val="0"/>
                <w:sz w:val="21"/>
                <w:szCs w:val="21"/>
                <w:lang w:eastAsia="zh-CN"/>
              </w:rPr>
              <w:t>、</w:t>
            </w:r>
            <w:r>
              <w:rPr>
                <w:rFonts w:hint="default" w:ascii="Times New Roman" w:hAnsi="Times New Roman" w:cs="Times New Roman"/>
                <w:b w:val="0"/>
                <w:bCs/>
                <w:kern w:val="0"/>
                <w:sz w:val="21"/>
                <w:szCs w:val="21"/>
              </w:rPr>
              <w:t>加强日常维护和保养</w:t>
            </w:r>
            <w:r>
              <w:rPr>
                <w:rFonts w:hint="eastAsia" w:ascii="Times New Roman" w:hAnsi="Times New Roman" w:cs="Times New Roman"/>
                <w:b w:val="0"/>
                <w:bCs/>
                <w:kern w:val="0"/>
                <w:sz w:val="21"/>
                <w:szCs w:val="21"/>
                <w:lang w:eastAsia="zh-CN"/>
              </w:rPr>
              <w:t>、</w:t>
            </w:r>
            <w:r>
              <w:rPr>
                <w:rFonts w:hint="default" w:ascii="Times New Roman" w:hAnsi="Times New Roman" w:cs="Times New Roman"/>
                <w:b w:val="0"/>
                <w:bCs/>
                <w:kern w:val="0"/>
                <w:sz w:val="21"/>
                <w:szCs w:val="21"/>
              </w:rPr>
              <w:t>合理安排作业时间</w:t>
            </w: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81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推土机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val="en-US" w:eastAsia="zh-CN"/>
              </w:rPr>
              <w:t>6</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84</w:t>
            </w:r>
          </w:p>
        </w:tc>
        <w:tc>
          <w:tcPr>
            <w:tcW w:w="17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b w:val="0"/>
                <w:bCs/>
                <w:kern w:val="0"/>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79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装载机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12</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83</w:t>
            </w:r>
          </w:p>
        </w:tc>
        <w:tc>
          <w:tcPr>
            <w:tcW w:w="17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b w:val="0"/>
                <w:bCs/>
                <w:kern w:val="0"/>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78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平地机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4</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80</w:t>
            </w:r>
          </w:p>
        </w:tc>
        <w:tc>
          <w:tcPr>
            <w:tcW w:w="17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75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摊铺机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val="en-US" w:eastAsia="zh-CN"/>
              </w:rPr>
              <w:t>4</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83</w:t>
            </w:r>
          </w:p>
        </w:tc>
        <w:tc>
          <w:tcPr>
            <w:tcW w:w="17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b w:val="0"/>
                <w:bCs/>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78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压路机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8</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80</w:t>
            </w:r>
          </w:p>
        </w:tc>
        <w:tc>
          <w:tcPr>
            <w:tcW w:w="17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b w:val="0"/>
                <w:bCs/>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75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发电机组</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val="en-US" w:eastAsia="zh-CN"/>
              </w:rPr>
              <w:t>5</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82</w:t>
            </w:r>
          </w:p>
        </w:tc>
        <w:tc>
          <w:tcPr>
            <w:tcW w:w="17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选用低噪设备，停电时使用</w:t>
            </w: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75</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运营期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道路新建后营运期噪声源主要是道路行驶的各种车辆在行驶过程中产生的交通噪声（包括机动车发动机噪声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排气噪声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车体振动噪声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传动和制动噪声等）其中发动机噪声是主要污染源。本项目各类型车型平均辐射噪声级见下表</w:t>
      </w:r>
    </w:p>
    <w:p>
      <w:pPr>
        <w:keepNext w:val="0"/>
        <w:keepLines w:val="0"/>
        <w:pageBreakBefore w:val="0"/>
        <w:widowControl w:val="0"/>
        <w:kinsoku/>
        <w:wordWrap/>
        <w:overflowPunct/>
        <w:topLinePunct w:val="0"/>
        <w:autoSpaceDE w:val="0"/>
        <w:autoSpaceDN w:val="0"/>
        <w:bidi w:val="0"/>
        <w:adjustRightInd/>
        <w:snapToGrid/>
        <w:spacing w:before="0" w:after="0"/>
        <w:ind w:left="0" w:right="0" w:firstLine="0"/>
        <w:jc w:val="center"/>
        <w:textAlignment w:val="auto"/>
        <w:rPr>
          <w:rFonts w:hint="default" w:ascii="Times New Roman" w:hAnsi="Times New Roman" w:cs="Times New Roman"/>
          <w:b/>
          <w:sz w:val="21"/>
          <w:lang w:val="en-US" w:eastAsia="zh-CN"/>
        </w:rPr>
      </w:pPr>
      <w:r>
        <w:rPr>
          <w:rFonts w:hint="default" w:ascii="Times New Roman" w:hAnsi="Times New Roman" w:cs="Times New Roman"/>
          <w:b/>
          <w:sz w:val="21"/>
          <w:lang w:val="en-US" w:eastAsia="zh-CN"/>
        </w:rPr>
        <w:t>表2.13-9 各类型车型平均辐射噪声级        单位：dB（A）</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15"/>
        <w:gridCol w:w="1219"/>
        <w:gridCol w:w="1124"/>
        <w:gridCol w:w="1143"/>
        <w:gridCol w:w="14"/>
        <w:gridCol w:w="1119"/>
        <w:gridCol w:w="5"/>
        <w:gridCol w:w="1128"/>
        <w:gridCol w:w="1133"/>
        <w:gridCol w:w="1"/>
        <w:gridCol w:w="1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restar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工程</w:t>
            </w:r>
          </w:p>
        </w:tc>
        <w:tc>
          <w:tcPr>
            <w:tcW w:w="659" w:type="pct"/>
            <w:vMerge w:val="restar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特征年</w:t>
            </w:r>
          </w:p>
        </w:tc>
        <w:tc>
          <w:tcPr>
            <w:tcW w:w="3682" w:type="pct"/>
            <w:gridSpan w:val="9"/>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车型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 w:hRule="atLeast"/>
          <w:jc w:val="center"/>
        </w:trPr>
        <w:tc>
          <w:tcPr>
            <w:tcW w:w="657" w:type="pct"/>
            <w:vMerge w:val="continue"/>
            <w:tcBorders>
              <w:tl2br w:val="nil"/>
              <w:tr2bl w:val="nil"/>
            </w:tcBorders>
            <w:noWrap w:val="0"/>
            <w:vAlign w:val="center"/>
          </w:tcPr>
          <w:p>
            <w:pPr>
              <w:widowControl/>
              <w:jc w:val="left"/>
              <w:rPr>
                <w:rFonts w:hint="default" w:ascii="Times New Roman" w:hAnsi="Times New Roman" w:eastAsia="宋体" w:cs="Times New Roman"/>
                <w:b w:val="0"/>
                <w:bCs/>
                <w:color w:val="auto"/>
                <w:kern w:val="0"/>
                <w:sz w:val="21"/>
                <w:szCs w:val="21"/>
              </w:rPr>
            </w:pPr>
          </w:p>
        </w:tc>
        <w:tc>
          <w:tcPr>
            <w:tcW w:w="659" w:type="pct"/>
            <w:vMerge w:val="continue"/>
            <w:tcBorders>
              <w:tl2br w:val="nil"/>
              <w:tr2bl w:val="nil"/>
            </w:tcBorders>
            <w:noWrap w:val="0"/>
            <w:vAlign w:val="center"/>
          </w:tcPr>
          <w:p>
            <w:pPr>
              <w:widowControl/>
              <w:jc w:val="left"/>
              <w:rPr>
                <w:rFonts w:hint="default" w:ascii="Times New Roman" w:hAnsi="Times New Roman" w:eastAsia="宋体" w:cs="Times New Roman"/>
                <w:b w:val="0"/>
                <w:bCs/>
                <w:color w:val="auto"/>
                <w:kern w:val="0"/>
                <w:sz w:val="21"/>
                <w:szCs w:val="21"/>
              </w:rPr>
            </w:pPr>
          </w:p>
        </w:tc>
        <w:tc>
          <w:tcPr>
            <w:tcW w:w="1226" w:type="pct"/>
            <w:gridSpan w:val="2"/>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小型车</w:t>
            </w:r>
          </w:p>
        </w:tc>
        <w:tc>
          <w:tcPr>
            <w:tcW w:w="1226" w:type="pct"/>
            <w:gridSpan w:val="4"/>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中型车</w:t>
            </w:r>
          </w:p>
        </w:tc>
        <w:tc>
          <w:tcPr>
            <w:tcW w:w="1229" w:type="pct"/>
            <w:gridSpan w:val="3"/>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大型车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 w:hRule="atLeast"/>
          <w:jc w:val="center"/>
        </w:trPr>
        <w:tc>
          <w:tcPr>
            <w:tcW w:w="657" w:type="pct"/>
            <w:vMerge w:val="continue"/>
            <w:tcBorders>
              <w:tl2br w:val="nil"/>
              <w:tr2bl w:val="nil"/>
            </w:tcBorders>
            <w:noWrap w:val="0"/>
            <w:vAlign w:val="center"/>
          </w:tcPr>
          <w:p>
            <w:pPr>
              <w:widowControl/>
              <w:jc w:val="center"/>
              <w:rPr>
                <w:rFonts w:hint="default" w:ascii="Times New Roman" w:hAnsi="Times New Roman" w:cs="Times New Roman"/>
                <w:b w:val="0"/>
                <w:bCs/>
                <w:color w:val="auto"/>
              </w:rPr>
            </w:pPr>
          </w:p>
        </w:tc>
        <w:tc>
          <w:tcPr>
            <w:tcW w:w="65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rPr>
            </w:pPr>
          </w:p>
        </w:tc>
        <w:tc>
          <w:tcPr>
            <w:tcW w:w="608" w:type="pct"/>
            <w:tcBorders>
              <w:tl2br w:val="nil"/>
              <w:tr2bl w:val="nil"/>
            </w:tcBorders>
            <w:noWrap w:val="0"/>
            <w:vAlign w:val="center"/>
          </w:tcPr>
          <w:p>
            <w:pPr>
              <w:widowControl/>
              <w:jc w:val="center"/>
              <w:rPr>
                <w:rFonts w:hint="default" w:ascii="Times New Roman" w:hAnsi="Times New Roman" w:cs="Times New Roman"/>
                <w:b w:val="0"/>
                <w:bCs/>
                <w:color w:val="auto"/>
              </w:rPr>
            </w:pPr>
            <w:r>
              <w:rPr>
                <w:rFonts w:hint="default" w:ascii="Times New Roman" w:hAnsi="Times New Roman" w:eastAsia="宋体" w:cs="Times New Roman"/>
                <w:b w:val="0"/>
                <w:bCs/>
                <w:color w:val="auto"/>
                <w:kern w:val="0"/>
                <w:sz w:val="21"/>
                <w:szCs w:val="21"/>
              </w:rPr>
              <w:t>昼</w:t>
            </w:r>
          </w:p>
        </w:tc>
        <w:tc>
          <w:tcPr>
            <w:tcW w:w="617" w:type="pct"/>
            <w:tcBorders>
              <w:tl2br w:val="nil"/>
              <w:tr2bl w:val="nil"/>
            </w:tcBorders>
            <w:noWrap w:val="0"/>
            <w:vAlign w:val="center"/>
          </w:tcPr>
          <w:p>
            <w:pPr>
              <w:widowControl/>
              <w:jc w:val="center"/>
              <w:rPr>
                <w:rFonts w:hint="default" w:ascii="Times New Roman" w:hAnsi="Times New Roman" w:cs="Times New Roman"/>
                <w:b w:val="0"/>
                <w:bCs/>
                <w:color w:val="auto"/>
              </w:rPr>
            </w:pPr>
            <w:r>
              <w:rPr>
                <w:rFonts w:hint="default" w:ascii="Times New Roman" w:hAnsi="Times New Roman" w:eastAsia="宋体" w:cs="Times New Roman"/>
                <w:b w:val="0"/>
                <w:bCs/>
                <w:color w:val="auto"/>
                <w:kern w:val="0"/>
                <w:sz w:val="21"/>
                <w:szCs w:val="21"/>
              </w:rPr>
              <w:t>夜</w:t>
            </w:r>
          </w:p>
        </w:tc>
        <w:tc>
          <w:tcPr>
            <w:tcW w:w="613" w:type="pct"/>
            <w:gridSpan w:val="2"/>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w:t>
            </w:r>
          </w:p>
        </w:tc>
        <w:tc>
          <w:tcPr>
            <w:tcW w:w="613" w:type="pct"/>
            <w:gridSpan w:val="2"/>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w:t>
            </w:r>
          </w:p>
        </w:tc>
        <w:tc>
          <w:tcPr>
            <w:tcW w:w="613" w:type="pc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w:t>
            </w:r>
          </w:p>
        </w:tc>
        <w:tc>
          <w:tcPr>
            <w:tcW w:w="616" w:type="pct"/>
            <w:gridSpan w:val="2"/>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restar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本项目</w:t>
            </w:r>
          </w:p>
        </w:tc>
        <w:tc>
          <w:tcPr>
            <w:tcW w:w="659" w:type="pc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lang w:eastAsia="zh-CN"/>
              </w:rPr>
            </w:pPr>
            <w:r>
              <w:rPr>
                <w:rFonts w:hint="default" w:ascii="Times New Roman" w:hAnsi="Times New Roman" w:cs="Times New Roman"/>
                <w:b w:val="0"/>
                <w:bCs/>
                <w:color w:val="auto"/>
                <w:kern w:val="0"/>
                <w:sz w:val="21"/>
                <w:szCs w:val="21"/>
                <w:lang w:eastAsia="zh-CN"/>
              </w:rPr>
              <w:t>2025年</w:t>
            </w:r>
          </w:p>
        </w:tc>
        <w:tc>
          <w:tcPr>
            <w:tcW w:w="608"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71.73</w:t>
            </w:r>
          </w:p>
        </w:tc>
        <w:tc>
          <w:tcPr>
            <w:tcW w:w="62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cs="Times New Roman"/>
                <w:b w:val="0"/>
                <w:bCs/>
                <w:i w:val="0"/>
                <w:color w:val="auto"/>
                <w:kern w:val="0"/>
                <w:sz w:val="21"/>
                <w:szCs w:val="21"/>
                <w:u w:val="none"/>
                <w:lang w:val="en-US" w:eastAsia="zh-CN" w:bidi="ar"/>
              </w:rPr>
              <w:t>71.89</w:t>
            </w:r>
          </w:p>
        </w:tc>
        <w:tc>
          <w:tcPr>
            <w:tcW w:w="608"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70.5</w:t>
            </w:r>
          </w:p>
        </w:tc>
        <w:tc>
          <w:tcPr>
            <w:tcW w:w="6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cs="Times New Roman"/>
                <w:b w:val="0"/>
                <w:bCs/>
                <w:i w:val="0"/>
                <w:color w:val="auto"/>
                <w:kern w:val="0"/>
                <w:sz w:val="21"/>
                <w:szCs w:val="21"/>
                <w:u w:val="none"/>
                <w:lang w:val="en-US" w:eastAsia="zh-CN" w:bidi="ar"/>
              </w:rPr>
              <w:t>71.17</w:t>
            </w:r>
          </w:p>
        </w:tc>
        <w:tc>
          <w:tcPr>
            <w:tcW w:w="614" w:type="pct"/>
            <w:gridSpan w:val="2"/>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71.08</w:t>
            </w:r>
          </w:p>
        </w:tc>
        <w:tc>
          <w:tcPr>
            <w:tcW w:w="6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cs="Times New Roman"/>
                <w:b w:val="0"/>
                <w:bCs/>
                <w:i w:val="0"/>
                <w:color w:val="auto"/>
                <w:kern w:val="0"/>
                <w:sz w:val="21"/>
                <w:szCs w:val="21"/>
                <w:u w:val="none"/>
                <w:lang w:val="en-US" w:eastAsia="zh-CN" w:bidi="ar"/>
              </w:rPr>
              <w:t>78.07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continue"/>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rPr>
            </w:pPr>
          </w:p>
        </w:tc>
        <w:tc>
          <w:tcPr>
            <w:tcW w:w="659" w:type="pct"/>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2031年</w:t>
            </w:r>
          </w:p>
        </w:tc>
        <w:tc>
          <w:tcPr>
            <w:tcW w:w="608"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val="0"/>
                <w:bCs/>
                <w:sz w:val="21"/>
                <w:szCs w:val="21"/>
                <w:lang w:val="en-US"/>
              </w:rPr>
            </w:pPr>
            <w:r>
              <w:rPr>
                <w:rFonts w:hint="default" w:ascii="Times New Roman" w:hAnsi="Times New Roman" w:cs="Times New Roman"/>
                <w:b w:val="0"/>
                <w:bCs/>
                <w:sz w:val="21"/>
                <w:szCs w:val="21"/>
                <w:lang w:val="en-US" w:eastAsia="zh-CN"/>
              </w:rPr>
              <w:t>71.68</w:t>
            </w:r>
          </w:p>
        </w:tc>
        <w:tc>
          <w:tcPr>
            <w:tcW w:w="62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71.89</w:t>
            </w:r>
          </w:p>
        </w:tc>
        <w:tc>
          <w:tcPr>
            <w:tcW w:w="608"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71.86</w:t>
            </w:r>
          </w:p>
        </w:tc>
        <w:tc>
          <w:tcPr>
            <w:tcW w:w="6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71.19</w:t>
            </w:r>
          </w:p>
        </w:tc>
        <w:tc>
          <w:tcPr>
            <w:tcW w:w="614"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78.54</w:t>
            </w:r>
          </w:p>
        </w:tc>
        <w:tc>
          <w:tcPr>
            <w:tcW w:w="6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78.08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continue"/>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rPr>
            </w:pPr>
          </w:p>
        </w:tc>
        <w:tc>
          <w:tcPr>
            <w:tcW w:w="659" w:type="pct"/>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2039年</w:t>
            </w:r>
          </w:p>
        </w:tc>
        <w:tc>
          <w:tcPr>
            <w:tcW w:w="608"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val="0"/>
                <w:bCs/>
                <w:sz w:val="21"/>
                <w:szCs w:val="21"/>
                <w:lang w:val="en-US"/>
              </w:rPr>
            </w:pPr>
            <w:r>
              <w:rPr>
                <w:rFonts w:hint="default" w:ascii="Times New Roman" w:hAnsi="Times New Roman" w:cs="Times New Roman"/>
                <w:b w:val="0"/>
                <w:bCs/>
                <w:sz w:val="21"/>
                <w:szCs w:val="21"/>
                <w:lang w:val="en-US" w:eastAsia="zh-CN"/>
              </w:rPr>
              <w:t>71.63</w:t>
            </w:r>
          </w:p>
        </w:tc>
        <w:tc>
          <w:tcPr>
            <w:tcW w:w="62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71.88</w:t>
            </w:r>
          </w:p>
        </w:tc>
        <w:tc>
          <w:tcPr>
            <w:tcW w:w="608"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71.95</w:t>
            </w:r>
          </w:p>
        </w:tc>
        <w:tc>
          <w:tcPr>
            <w:tcW w:w="6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71.21</w:t>
            </w:r>
          </w:p>
        </w:tc>
        <w:tc>
          <w:tcPr>
            <w:tcW w:w="614"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78.6</w:t>
            </w:r>
          </w:p>
        </w:tc>
        <w:tc>
          <w:tcPr>
            <w:tcW w:w="6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78.09</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营运期本项目沿线两侧声环境敏感较多，根据项目的特点，营运期会对这些敏感目标产生一定的影响。因此，在营运期，需通过必要的防护措施如采取安装声屏障</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禁止超载</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加强交通运输车辆管理等措施控制交通噪声</w:t>
      </w:r>
      <w:r>
        <w:rPr>
          <w:rFonts w:hint="default" w:ascii="Times New Roman" w:hAnsi="Times New Roman" w:cs="Times New Roman"/>
          <w:b w:val="0"/>
          <w:bCs w:val="0"/>
          <w:sz w:val="24"/>
          <w:szCs w:val="24"/>
          <w:highlight w:val="none"/>
          <w:lang w:val="en-US" w:eastAsia="zh-CN" w:bidi="zh-CN"/>
        </w:rPr>
        <w:t>。</w:t>
      </w:r>
    </w:p>
    <w:p>
      <w:pPr>
        <w:pStyle w:val="6"/>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3"/>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sz w:val="24"/>
          <w:szCs w:val="24"/>
          <w:lang w:val="en-US" w:eastAsia="zh-CN"/>
        </w:rPr>
        <w:t>2.13.2.4.固体废弃物污染源强分析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本项目施工期固废主要包括废弃土石方</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建筑垃圾</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施工人员生活垃圾。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（1）废弃土石方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本工程废弃土石方主要来源于路基开挖</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现有道路改移</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桥梁施工等过程，若处置不当将会直接占压沿线的林地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耕地等，评价要求建设单位对产生的弃渣尽可能综合利用，不能综合利用的弃渣运至本项目工可设计的弃渣场，本次环评建议建设单位在施工期间，严格按照水土保持方案报告要求，做好弃渣拦挡和弃渣场迹地恢复，减小工程弃渣</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弃石对环境的影响。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（2）建筑垃圾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zh-CN" w:eastAsia="zh-CN" w:bidi="zh-CN"/>
        </w:rPr>
      </w:pPr>
      <w:r>
        <w:rPr>
          <w:rFonts w:hint="default" w:ascii="Times New Roman" w:hAnsi="Times New Roman" w:eastAsia="宋体" w:cs="Times New Roman"/>
          <w:b w:val="0"/>
          <w:bCs w:val="0"/>
          <w:sz w:val="24"/>
          <w:szCs w:val="24"/>
          <w:highlight w:val="none"/>
          <w:lang w:val="en-US" w:eastAsia="zh-CN" w:bidi="zh-CN"/>
        </w:rPr>
        <w:t>施工期应加强建筑垃圾管理；对产生的建筑垃圾，要尽量回收和利用其中的有用部分；剩余建筑垃圾要及时清运，可送到当地的建筑垃圾处置场或作妥善处置；不宜长时间堆积，不得在建筑工地外擅自堆放，做到工序完工场地清洁。彻底清理拆迁及施工场地等临时工程撤离产生的建筑垃圾，运至指定的建筑垃圾处置场或其他指定场所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（3）生活垃圾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项目施工期间施工人员按照50人计，产生的生活垃圾按照0.5kg/（人·d）计，则在施工期生活垃圾产生量为25kg/d。在施工场地设置生活垃圾集中收集点，经集中收集后由当地环卫部门统一处置，不会对当地环境产生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运营期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由于项目道路不设置养护工区及服务区，因此营运期产生的固体废弃物主要为车辆及行人通行过程中沿途洒落的少量生活垃圾。生活垃圾经环卫工人集中收集后由当地环卫部门统一处置，不会对当地环境产生影响。</w:t>
      </w:r>
    </w:p>
    <w:p>
      <w:pPr>
        <w:pStyle w:val="6"/>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3"/>
        <w:rPr>
          <w:rFonts w:hint="default" w:ascii="Times New Roman" w:hAnsi="Times New Roman" w:cs="Times New Roman"/>
          <w:b w:val="0"/>
          <w:bCs w:val="0"/>
          <w:sz w:val="24"/>
          <w:szCs w:val="24"/>
          <w:highlight w:val="none"/>
          <w:lang w:val="en-US" w:eastAsia="zh-CN" w:bidi="zh-CN"/>
        </w:rPr>
      </w:pPr>
      <w:r>
        <w:rPr>
          <w:rFonts w:hint="default" w:ascii="Times New Roman" w:hAnsi="Times New Roman" w:cs="Times New Roman"/>
          <w:b/>
          <w:sz w:val="24"/>
          <w:szCs w:val="24"/>
          <w:lang w:val="en-US" w:eastAsia="zh-CN"/>
        </w:rPr>
        <w:t>2.13.2.5.事故风险影响分析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本项目的污染事故主要来源于交通事故，当公路跨过水域通行时，车辆发生事故将可能对水体产生污染，水污染事故主要有如下几种类型：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车辆发生交通事故，本身携带的汽油</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或柴油</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和机油泄漏，并排入附近水体；</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2</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装载着的石化产品发生交通事故，化学品发生泄漏，并排入附近水体；</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3</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在桥面发生交通事故，汽车连带货物坠入河流。</w:t>
      </w:r>
    </w:p>
    <w:p>
      <w:pPr>
        <w:pStyle w:val="6"/>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3"/>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2.13.2.6.景观绿化影响分析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公路建设对景观的影响不可避免。本工程的特点是受地形条件限制，路基挖填量大，部分路段临近</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跨越地表水体，为了实现公路景观与项目沿线原有景观的协调一致，针对本工程的特点和当地的自然景观</w:t>
      </w:r>
      <w:r>
        <w:rPr>
          <w:rFonts w:hint="default" w:ascii="Times New Roman" w:hAnsi="Times New Roman" w:cs="Times New Roman"/>
          <w:b w:val="0"/>
          <w:bCs w:val="0"/>
          <w:sz w:val="24"/>
          <w:szCs w:val="24"/>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路基边坡两侧坡面作自然生态化处理，采用当地土生树种</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草种，营造与自然环境协调的景观环境。路侧绿化主要选用开花乔木和落叶乔木相间种植，采用乡土树种，层次感强烈，季相变化丰富，给驾驶员营造一个安全</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舒适的行车环境。依据公路两侧用地性质进行适当调整，形成沿线多个与周边自然景观相协调的景观环境，主要栽植地方植物，与背景景观相连接，形成“路在景中”的自然生态环境。</w:t>
      </w:r>
    </w:p>
    <w:p>
      <w:pPr>
        <w:pStyle w:val="5"/>
        <w:keepNext/>
        <w:keepLines/>
        <w:pageBreakBefore w:val="0"/>
        <w:widowControl w:val="0"/>
        <w:kinsoku/>
        <w:wordWrap/>
        <w:overflowPunct/>
        <w:topLinePunct w:val="0"/>
        <w:autoSpaceDE w:val="0"/>
        <w:autoSpaceDN w:val="0"/>
        <w:bidi w:val="0"/>
        <w:adjustRightInd/>
        <w:snapToGrid/>
        <w:spacing w:before="0" w:after="0" w:line="360" w:lineRule="auto"/>
        <w:ind w:left="0" w:firstLine="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2.13.2.污染源强核算统计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本项目污染源强核算见表2.13-10</w:t>
      </w:r>
    </w:p>
    <w:p>
      <w:pPr>
        <w:tabs>
          <w:tab w:val="left" w:pos="1454"/>
        </w:tabs>
        <w:bidi w:val="0"/>
        <w:jc w:val="left"/>
        <w:rPr>
          <w:rFonts w:hint="default" w:ascii="Times New Roman" w:hAnsi="Times New Roman" w:cs="Times New Roman"/>
          <w:lang w:val="en-US" w:eastAsia="zh-CN"/>
        </w:rPr>
        <w:sectPr>
          <w:pgSz w:w="11910" w:h="16840"/>
          <w:pgMar w:top="1378" w:right="1179" w:bottom="1202" w:left="1219" w:header="875" w:footer="1021" w:gutter="0"/>
          <w:pgNumType w:fmt="decimal"/>
          <w:cols w:space="720" w:num="1"/>
        </w:sectPr>
      </w:pPr>
    </w:p>
    <w:p>
      <w:pPr>
        <w:keepNext w:val="0"/>
        <w:keepLines w:val="0"/>
        <w:pageBreakBefore w:val="0"/>
        <w:widowControl w:val="0"/>
        <w:kinsoku/>
        <w:wordWrap/>
        <w:overflowPunct/>
        <w:topLinePunct w:val="0"/>
        <w:autoSpaceDE w:val="0"/>
        <w:autoSpaceDN w:val="0"/>
        <w:bidi w:val="0"/>
        <w:adjustRightInd/>
        <w:snapToGrid/>
        <w:spacing w:before="0" w:after="0"/>
        <w:ind w:left="0" w:right="0" w:firstLine="0"/>
        <w:jc w:val="center"/>
        <w:textAlignment w:val="auto"/>
        <w:rPr>
          <w:rFonts w:hint="default" w:ascii="Times New Roman" w:hAnsi="Times New Roman" w:cs="Times New Roman"/>
          <w:b/>
          <w:sz w:val="21"/>
          <w:lang w:val="en-US" w:eastAsia="zh-CN"/>
        </w:rPr>
      </w:pPr>
      <w:r>
        <w:rPr>
          <w:rFonts w:hint="default" w:ascii="Times New Roman" w:hAnsi="Times New Roman" w:cs="Times New Roman"/>
          <w:b/>
          <w:sz w:val="21"/>
          <w:lang w:val="en-US" w:eastAsia="zh-CN"/>
        </w:rPr>
        <w:t>表2.13-10污染源强核算统计表</w:t>
      </w:r>
    </w:p>
    <w:tbl>
      <w:tblPr>
        <w:tblStyle w:val="17"/>
        <w:tblW w:w="483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825"/>
        <w:gridCol w:w="721"/>
        <w:gridCol w:w="1849"/>
        <w:gridCol w:w="1797"/>
        <w:gridCol w:w="1353"/>
        <w:gridCol w:w="1488"/>
        <w:gridCol w:w="2745"/>
        <w:gridCol w:w="1421"/>
        <w:gridCol w:w="1294"/>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1" w:hRule="atLeast"/>
          <w:jc w:val="center"/>
        </w:trPr>
        <w:tc>
          <w:tcPr>
            <w:tcW w:w="825" w:type="dxa"/>
            <w:tcBorders>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182"/>
              <w:jc w:val="righ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内容</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类型</w:t>
            </w:r>
          </w:p>
        </w:tc>
        <w:tc>
          <w:tcPr>
            <w:tcW w:w="2569" w:type="dxa"/>
            <w:gridSpan w:val="2"/>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排放源</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1796"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产生方式</w:t>
            </w:r>
          </w:p>
        </w:tc>
        <w:tc>
          <w:tcPr>
            <w:tcW w:w="1352"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主要污染物名称</w:t>
            </w:r>
          </w:p>
        </w:tc>
        <w:tc>
          <w:tcPr>
            <w:tcW w:w="1487"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743"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治理措施</w:t>
            </w:r>
          </w:p>
        </w:tc>
        <w:tc>
          <w:tcPr>
            <w:tcW w:w="1420"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1293" w:type="dxa"/>
            <w:tcBorders>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备注说明</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825" w:type="dxa"/>
            <w:vMerge w:val="restart"/>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w:t>
            </w:r>
          </w:p>
        </w:tc>
        <w:tc>
          <w:tcPr>
            <w:tcW w:w="721"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184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铺路工序</w:t>
            </w:r>
          </w:p>
        </w:tc>
        <w:tc>
          <w:tcPr>
            <w:tcW w:w="179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沥青烟</w:t>
            </w: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少量</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14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93"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99" w:hRule="atLeast"/>
          <w:jc w:val="center"/>
        </w:trPr>
        <w:tc>
          <w:tcPr>
            <w:tcW w:w="825"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721"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84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开挖</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回填粉尘</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施工道路扬尘</w:t>
            </w:r>
          </w:p>
        </w:tc>
        <w:tc>
          <w:tcPr>
            <w:tcW w:w="179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TSP</w:t>
            </w: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b w:val="0"/>
                <w:bCs w:val="0"/>
                <w:sz w:val="21"/>
                <w:szCs w:val="21"/>
                <w:highlight w:val="none"/>
                <w:lang w:val="en-US" w:eastAsia="zh-CN" w:bidi="zh-CN"/>
              </w:rPr>
              <w:t>12.63t</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开挖施工道路洒水降尘，</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加强运输车辆清洗及遮盖管理。</w:t>
            </w:r>
          </w:p>
        </w:tc>
        <w:tc>
          <w:tcPr>
            <w:tcW w:w="14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治理后达标排放</w:t>
            </w:r>
          </w:p>
        </w:tc>
        <w:tc>
          <w:tcPr>
            <w:tcW w:w="1293"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21" w:hRule="atLeast"/>
          <w:jc w:val="center"/>
        </w:trPr>
        <w:tc>
          <w:tcPr>
            <w:tcW w:w="825" w:type="dxa"/>
            <w:vMerge w:val="restart"/>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水污染物</w:t>
            </w:r>
          </w:p>
        </w:tc>
        <w:tc>
          <w:tcPr>
            <w:tcW w:w="721"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184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施工场地施工废水</w:t>
            </w:r>
          </w:p>
        </w:tc>
        <w:tc>
          <w:tcPr>
            <w:tcW w:w="179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施工机械冲洗废水及场地冲洗废水</w:t>
            </w:r>
          </w:p>
        </w:tc>
        <w:tc>
          <w:tcPr>
            <w:tcW w:w="1352"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SS</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60kg</w:t>
            </w:r>
            <w:r>
              <w:rPr>
                <w:rFonts w:hint="default" w:ascii="Times New Roman" w:hAnsi="Times New Roman" w:cs="Times New Roman"/>
                <w:sz w:val="21"/>
                <w:szCs w:val="21"/>
              </w:rPr>
              <w:t>/d</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隔油沉淀池沉淀处理</w:t>
            </w:r>
          </w:p>
        </w:tc>
        <w:tc>
          <w:tcPr>
            <w:tcW w:w="14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处理后回用，不直排地表水体</w:t>
            </w:r>
          </w:p>
        </w:tc>
        <w:tc>
          <w:tcPr>
            <w:tcW w:w="1293"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1" w:hRule="atLeast"/>
          <w:jc w:val="center"/>
        </w:trPr>
        <w:tc>
          <w:tcPr>
            <w:tcW w:w="825"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721"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84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桥梁施工废水</w:t>
            </w:r>
          </w:p>
        </w:tc>
        <w:tc>
          <w:tcPr>
            <w:tcW w:w="179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桥梁基础施工废水</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泥浆</w:t>
            </w:r>
          </w:p>
        </w:tc>
        <w:tc>
          <w:tcPr>
            <w:tcW w:w="148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产生量根据具体情况而定</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沉砂池处理</w:t>
            </w:r>
          </w:p>
        </w:tc>
        <w:tc>
          <w:tcPr>
            <w:tcW w:w="14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处理后上清液回用，不直排地表水体</w:t>
            </w:r>
          </w:p>
        </w:tc>
        <w:tc>
          <w:tcPr>
            <w:tcW w:w="1293"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沉淀泥浆清运至弃渣场</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530" w:hRule="atLeast"/>
          <w:jc w:val="center"/>
        </w:trPr>
        <w:tc>
          <w:tcPr>
            <w:tcW w:w="825"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721"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84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179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施工人员生活污水</w:t>
            </w:r>
          </w:p>
        </w:tc>
        <w:tc>
          <w:tcPr>
            <w:tcW w:w="1352"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COD BOD SS</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动植物油</w:t>
            </w:r>
          </w:p>
        </w:tc>
        <w:tc>
          <w:tcPr>
            <w:tcW w:w="1487"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b w:val="0"/>
                <w:bCs w:val="0"/>
                <w:sz w:val="21"/>
                <w:szCs w:val="21"/>
                <w:highlight w:val="none"/>
                <w:lang w:val="en-US" w:eastAsia="zh-CN" w:bidi="zh-CN"/>
              </w:rPr>
              <w:t>5.2m</w:t>
            </w:r>
            <w:r>
              <w:rPr>
                <w:rFonts w:hint="default" w:ascii="Times New Roman" w:hAnsi="Times New Roman" w:cs="Times New Roman"/>
                <w:b w:val="0"/>
                <w:bCs w:val="0"/>
                <w:sz w:val="21"/>
                <w:szCs w:val="21"/>
                <w:highlight w:val="none"/>
                <w:vertAlign w:val="superscript"/>
                <w:lang w:val="en-US" w:eastAsia="zh-CN" w:bidi="zh-CN"/>
              </w:rPr>
              <w:t>3</w:t>
            </w:r>
            <w:r>
              <w:rPr>
                <w:rFonts w:hint="default" w:ascii="Times New Roman" w:hAnsi="Times New Roman" w:cs="Times New Roman"/>
                <w:sz w:val="21"/>
                <w:szCs w:val="21"/>
              </w:rPr>
              <w:t>/d</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9"/>
                <w:sz w:val="21"/>
                <w:szCs w:val="21"/>
              </w:rPr>
              <w:t>纳入所租住农户厕所</w:t>
            </w:r>
            <w:r>
              <w:rPr>
                <w:rFonts w:hint="eastAsia" w:ascii="Times New Roman" w:hAnsi="Times New Roman" w:eastAsia="宋体" w:cs="Times New Roman"/>
                <w:spacing w:val="-9"/>
                <w:sz w:val="21"/>
                <w:szCs w:val="21"/>
                <w:lang w:eastAsia="zh-CN"/>
              </w:rPr>
              <w:t>、</w:t>
            </w:r>
            <w:r>
              <w:rPr>
                <w:rFonts w:hint="default" w:ascii="Times New Roman" w:hAnsi="Times New Roman" w:eastAsia="宋体" w:cs="Times New Roman"/>
                <w:spacing w:val="-9"/>
                <w:sz w:val="21"/>
                <w:szCs w:val="21"/>
              </w:rPr>
              <w:t>化粪池处理</w:t>
            </w:r>
            <w:r>
              <w:rPr>
                <w:rFonts w:hint="default" w:ascii="Times New Roman" w:hAnsi="Times New Roman" w:eastAsia="宋体" w:cs="Times New Roman"/>
                <w:spacing w:val="-9"/>
                <w:sz w:val="21"/>
                <w:szCs w:val="21"/>
                <w:lang w:eastAsia="zh-CN"/>
              </w:rPr>
              <w:t>。</w:t>
            </w:r>
          </w:p>
        </w:tc>
        <w:tc>
          <w:tcPr>
            <w:tcW w:w="14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3"/>
                <w:sz w:val="21"/>
                <w:szCs w:val="21"/>
              </w:rPr>
              <w:t>处 理 后 用 于 农</w:t>
            </w:r>
            <w:r>
              <w:rPr>
                <w:rFonts w:hint="default" w:ascii="Times New Roman" w:hAnsi="Times New Roman" w:eastAsia="宋体" w:cs="Times New Roman"/>
                <w:spacing w:val="4"/>
                <w:sz w:val="21"/>
                <w:szCs w:val="21"/>
              </w:rPr>
              <w:t>灌</w:t>
            </w:r>
            <w:r>
              <w:rPr>
                <w:rFonts w:hint="eastAsia" w:ascii="Times New Roman" w:hAnsi="Times New Roman" w:eastAsia="宋体" w:cs="Times New Roman"/>
                <w:spacing w:val="4"/>
                <w:sz w:val="21"/>
                <w:szCs w:val="21"/>
                <w:lang w:eastAsia="zh-CN"/>
              </w:rPr>
              <w:t>、</w:t>
            </w:r>
            <w:r>
              <w:rPr>
                <w:rFonts w:hint="default" w:ascii="Times New Roman" w:hAnsi="Times New Roman" w:eastAsia="宋体" w:cs="Times New Roman"/>
                <w:spacing w:val="4"/>
                <w:sz w:val="21"/>
                <w:szCs w:val="21"/>
              </w:rPr>
              <w:t>不直排地表</w:t>
            </w:r>
            <w:r>
              <w:rPr>
                <w:rFonts w:hint="default" w:ascii="Times New Roman" w:hAnsi="Times New Roman" w:eastAsia="宋体" w:cs="Times New Roman"/>
                <w:sz w:val="21"/>
                <w:szCs w:val="21"/>
              </w:rPr>
              <w:t>水体</w:t>
            </w:r>
          </w:p>
        </w:tc>
        <w:tc>
          <w:tcPr>
            <w:tcW w:w="1293"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bl>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tbl>
      <w:tblPr>
        <w:tblStyle w:val="17"/>
        <w:tblW w:w="4753"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814"/>
        <w:gridCol w:w="721"/>
        <w:gridCol w:w="1826"/>
        <w:gridCol w:w="1764"/>
        <w:gridCol w:w="1325"/>
        <w:gridCol w:w="1460"/>
        <w:gridCol w:w="2697"/>
        <w:gridCol w:w="1409"/>
        <w:gridCol w:w="1262"/>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1" w:hRule="atLeast"/>
          <w:jc w:val="center"/>
        </w:trPr>
        <w:tc>
          <w:tcPr>
            <w:tcW w:w="814" w:type="dxa"/>
            <w:tcBorders>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内容类型</w:t>
            </w:r>
          </w:p>
        </w:tc>
        <w:tc>
          <w:tcPr>
            <w:tcW w:w="2546" w:type="dxa"/>
            <w:gridSpan w:val="2"/>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排放源</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1763"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产生方式</w:t>
            </w:r>
          </w:p>
        </w:tc>
        <w:tc>
          <w:tcPr>
            <w:tcW w:w="1324"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主要污染物名称</w:t>
            </w:r>
          </w:p>
        </w:tc>
        <w:tc>
          <w:tcPr>
            <w:tcW w:w="1459"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695"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治理措施</w:t>
            </w:r>
          </w:p>
        </w:tc>
        <w:tc>
          <w:tcPr>
            <w:tcW w:w="1408"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1261" w:type="dxa"/>
            <w:tcBorders>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备注说明</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66" w:hRule="atLeast"/>
          <w:jc w:val="center"/>
        </w:trPr>
        <w:tc>
          <w:tcPr>
            <w:tcW w:w="814" w:type="dxa"/>
            <w:vMerge w:val="restart"/>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rPr>
              <w:t>水污染物</w:t>
            </w:r>
          </w:p>
        </w:tc>
        <w:tc>
          <w:tcPr>
            <w:tcW w:w="721"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w:t>
            </w:r>
          </w:p>
        </w:tc>
        <w:tc>
          <w:tcPr>
            <w:tcW w:w="1825"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路面径流及事故废水</w:t>
            </w:r>
          </w:p>
        </w:tc>
        <w:tc>
          <w:tcPr>
            <w:tcW w:w="176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路面径流</w:t>
            </w:r>
          </w:p>
        </w:tc>
        <w:tc>
          <w:tcPr>
            <w:tcW w:w="1324"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PH </w:t>
            </w:r>
            <w:r>
              <w:rPr>
                <w:rFonts w:hint="default" w:ascii="Times New Roman" w:hAnsi="Times New Roman" w:cs="Times New Roman"/>
                <w:position w:val="1"/>
                <w:sz w:val="21"/>
                <w:szCs w:val="21"/>
              </w:rPr>
              <w:t>COD</w:t>
            </w:r>
            <w:r>
              <w:rPr>
                <w:rFonts w:hint="default" w:ascii="Times New Roman" w:hAnsi="Times New Roman" w:cs="Times New Roman"/>
                <w:sz w:val="21"/>
                <w:szCs w:val="21"/>
              </w:rPr>
              <w:t xml:space="preserve">Cr </w:t>
            </w:r>
            <w:r>
              <w:rPr>
                <w:rFonts w:hint="default" w:ascii="Times New Roman" w:hAnsi="Times New Roman" w:cs="Times New Roman"/>
                <w:position w:val="1"/>
                <w:sz w:val="21"/>
                <w:szCs w:val="21"/>
              </w:rPr>
              <w:t>BOD</w:t>
            </w:r>
            <w:r>
              <w:rPr>
                <w:rFonts w:hint="default" w:ascii="Times New Roman" w:hAnsi="Times New Roman" w:cs="Times New Roman"/>
                <w:sz w:val="21"/>
                <w:szCs w:val="21"/>
              </w:rPr>
              <w:t>5 SS</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59"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269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加强车辆管理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定期检查清理路面排水系统</w:t>
            </w:r>
          </w:p>
        </w:tc>
        <w:tc>
          <w:tcPr>
            <w:tcW w:w="1408"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61" w:type="dxa"/>
            <w:vMerge w:val="restart"/>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17" w:hRule="atLeast"/>
          <w:jc w:val="center"/>
        </w:trPr>
        <w:tc>
          <w:tcPr>
            <w:tcW w:w="814"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721"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1825"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176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车辆交通事故废水</w:t>
            </w:r>
          </w:p>
        </w:tc>
        <w:tc>
          <w:tcPr>
            <w:tcW w:w="132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145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269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设置警示牌</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防撞墩</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制定风险防范措施</w:t>
            </w:r>
          </w:p>
        </w:tc>
        <w:tc>
          <w:tcPr>
            <w:tcW w:w="1408"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1261"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62" w:hRule="atLeast"/>
          <w:jc w:val="center"/>
        </w:trPr>
        <w:tc>
          <w:tcPr>
            <w:tcW w:w="814" w:type="dxa"/>
            <w:vMerge w:val="restart"/>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固体废弃物</w:t>
            </w:r>
          </w:p>
        </w:tc>
        <w:tc>
          <w:tcPr>
            <w:tcW w:w="721"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18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工程弃渣</w:t>
            </w:r>
          </w:p>
        </w:tc>
        <w:tc>
          <w:tcPr>
            <w:tcW w:w="176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工程弃渣</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弃渣</w:t>
            </w: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 xml:space="preserve">万 </w:t>
            </w:r>
            <w:r>
              <w:rPr>
                <w:rFonts w:hint="default" w:ascii="Times New Roman" w:hAnsi="Times New Roman" w:cs="Times New Roman"/>
                <w:sz w:val="21"/>
                <w:szCs w:val="21"/>
              </w:rPr>
              <w:t>m</w:t>
            </w:r>
            <w:r>
              <w:rPr>
                <w:rFonts w:hint="default" w:ascii="Times New Roman" w:hAnsi="Times New Roman" w:cs="Times New Roman"/>
                <w:position w:val="6"/>
                <w:sz w:val="21"/>
                <w:szCs w:val="21"/>
              </w:rPr>
              <w:t>3</w:t>
            </w:r>
          </w:p>
        </w:tc>
        <w:tc>
          <w:tcPr>
            <w:tcW w:w="269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运至弃渣场统一堆存</w:t>
            </w:r>
          </w:p>
        </w:tc>
        <w:tc>
          <w:tcPr>
            <w:tcW w:w="140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61" w:type="dxa"/>
            <w:vMerge w:val="restart"/>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48" w:hRule="atLeast"/>
          <w:jc w:val="center"/>
        </w:trPr>
        <w:tc>
          <w:tcPr>
            <w:tcW w:w="814"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721"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18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76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25</w:t>
            </w:r>
            <w:r>
              <w:rPr>
                <w:rFonts w:hint="default" w:ascii="Times New Roman" w:hAnsi="Times New Roman" w:cs="Times New Roman"/>
                <w:sz w:val="21"/>
                <w:szCs w:val="21"/>
              </w:rPr>
              <w:t>kg/d</w:t>
            </w:r>
          </w:p>
        </w:tc>
        <w:tc>
          <w:tcPr>
            <w:tcW w:w="2695"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设置垃圾桶集中收集后</w:t>
            </w:r>
            <w:r>
              <w:rPr>
                <w:rFonts w:hint="default" w:ascii="Times New Roman" w:hAnsi="Times New Roman" w:eastAsia="宋体" w:cs="Times New Roman"/>
                <w:sz w:val="21"/>
                <w:szCs w:val="21"/>
                <w:lang w:val="en-US" w:eastAsia="zh-CN"/>
              </w:rPr>
              <w:t>由当地环卫部门统一处置</w:t>
            </w:r>
          </w:p>
        </w:tc>
        <w:tc>
          <w:tcPr>
            <w:tcW w:w="140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61"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80" w:hRule="atLeast"/>
          <w:jc w:val="center"/>
        </w:trPr>
        <w:tc>
          <w:tcPr>
            <w:tcW w:w="814"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72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w:t>
            </w:r>
          </w:p>
        </w:tc>
        <w:tc>
          <w:tcPr>
            <w:tcW w:w="18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76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1705 kg/d</w:t>
            </w:r>
          </w:p>
        </w:tc>
        <w:tc>
          <w:tcPr>
            <w:tcW w:w="2695"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140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61"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098" w:hRule="atLeast"/>
          <w:jc w:val="center"/>
        </w:trPr>
        <w:tc>
          <w:tcPr>
            <w:tcW w:w="814" w:type="dxa"/>
            <w:vMerge w:val="restart"/>
            <w:tcBorders>
              <w:top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72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18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施工机械噪声施工作业噪声</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施工车辆交通噪声</w:t>
            </w:r>
          </w:p>
        </w:tc>
        <w:tc>
          <w:tcPr>
            <w:tcW w:w="176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施工活动</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75~</w:t>
            </w:r>
            <w:r>
              <w:rPr>
                <w:rFonts w:hint="default" w:ascii="Times New Roman" w:hAnsi="Times New Roman" w:eastAsia="宋体" w:cs="Times New Roman"/>
                <w:sz w:val="21"/>
                <w:szCs w:val="21"/>
                <w:lang w:val="en-US" w:eastAsia="zh-CN"/>
              </w:rPr>
              <w:t>81</w:t>
            </w:r>
            <w:r>
              <w:rPr>
                <w:rFonts w:hint="default" w:ascii="Times New Roman" w:hAnsi="Times New Roman" w:cs="Times New Roman"/>
                <w:sz w:val="21"/>
                <w:szCs w:val="21"/>
              </w:rPr>
              <w:t>d B</w:t>
            </w:r>
          </w:p>
        </w:tc>
        <w:tc>
          <w:tcPr>
            <w:tcW w:w="269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打围施工，合理安排施工时间，夜间禁止施工</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加强施工人员噪声防护</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必要时设置移动声屏障。</w:t>
            </w:r>
          </w:p>
        </w:tc>
        <w:tc>
          <w:tcPr>
            <w:tcW w:w="140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61"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08" w:hRule="atLeast"/>
          <w:jc w:val="center"/>
        </w:trPr>
        <w:tc>
          <w:tcPr>
            <w:tcW w:w="814" w:type="dxa"/>
            <w:vMerge w:val="continue"/>
            <w:tcBorders>
              <w:top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c>
          <w:tcPr>
            <w:tcW w:w="721"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w:t>
            </w:r>
          </w:p>
        </w:tc>
        <w:tc>
          <w:tcPr>
            <w:tcW w:w="1825"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车辆运营交通噪声</w:t>
            </w:r>
          </w:p>
        </w:tc>
        <w:tc>
          <w:tcPr>
            <w:tcW w:w="1763"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车辆运营</w:t>
            </w:r>
          </w:p>
        </w:tc>
        <w:tc>
          <w:tcPr>
            <w:tcW w:w="1324"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459"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71.08</w:t>
            </w:r>
            <w:r>
              <w:rPr>
                <w:rFonts w:hint="default" w:ascii="Times New Roman" w:hAnsi="Times New Roman" w:cs="Times New Roman"/>
                <w:sz w:val="21"/>
                <w:szCs w:val="21"/>
              </w:rPr>
              <w:t>~</w:t>
            </w:r>
            <w:r>
              <w:rPr>
                <w:rFonts w:hint="default" w:ascii="Times New Roman" w:hAnsi="Times New Roman" w:eastAsia="宋体" w:cs="Times New Roman"/>
                <w:sz w:val="21"/>
                <w:szCs w:val="21"/>
                <w:lang w:val="en-US" w:eastAsia="zh-CN"/>
              </w:rPr>
              <w:t>78.6</w:t>
            </w:r>
            <w:r>
              <w:rPr>
                <w:rFonts w:hint="default" w:ascii="Times New Roman" w:hAnsi="Times New Roman" w:cs="Times New Roman"/>
                <w:sz w:val="21"/>
                <w:szCs w:val="21"/>
              </w:rPr>
              <w:t>dB</w:t>
            </w:r>
          </w:p>
        </w:tc>
        <w:tc>
          <w:tcPr>
            <w:tcW w:w="2695"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10"/>
                <w:sz w:val="21"/>
                <w:szCs w:val="21"/>
              </w:rPr>
              <w:t>设置禁鸣标志</w:t>
            </w:r>
            <w:r>
              <w:rPr>
                <w:rFonts w:hint="eastAsia" w:ascii="Times New Roman" w:hAnsi="Times New Roman" w:eastAsia="宋体" w:cs="Times New Roman"/>
                <w:spacing w:val="-10"/>
                <w:sz w:val="21"/>
                <w:szCs w:val="21"/>
                <w:lang w:eastAsia="zh-CN"/>
              </w:rPr>
              <w:t>、</w:t>
            </w:r>
            <w:r>
              <w:rPr>
                <w:rFonts w:hint="default" w:ascii="Times New Roman" w:hAnsi="Times New Roman" w:eastAsia="宋体" w:cs="Times New Roman"/>
                <w:spacing w:val="-10"/>
                <w:sz w:val="21"/>
                <w:szCs w:val="21"/>
              </w:rPr>
              <w:t>加强车辆运输管理</w:t>
            </w:r>
            <w:r>
              <w:rPr>
                <w:rFonts w:hint="default" w:ascii="Times New Roman" w:hAnsi="Times New Roman" w:eastAsia="宋体" w:cs="Times New Roman"/>
                <w:spacing w:val="-10"/>
                <w:sz w:val="21"/>
                <w:szCs w:val="21"/>
                <w:lang w:eastAsia="zh-CN"/>
              </w:rPr>
              <w:t>。</w:t>
            </w:r>
          </w:p>
        </w:tc>
        <w:tc>
          <w:tcPr>
            <w:tcW w:w="1408"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61" w:type="dxa"/>
            <w:tcBorders>
              <w:top w:val="single" w:color="000000" w:sz="4" w:space="0"/>
              <w:lef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sz w:val="21"/>
                <w:szCs w:val="21"/>
              </w:rPr>
            </w:pPr>
          </w:p>
        </w:tc>
      </w:tr>
    </w:tbl>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6"/>
        <w:outlineLvl w:val="9"/>
        <w:rPr>
          <w:rFonts w:hint="default" w:ascii="Times New Roman" w:hAnsi="Times New Roman" w:cs="Times New Roman"/>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pStyle w:val="3"/>
        <w:bidi w:val="0"/>
        <w:rPr>
          <w:rFonts w:hint="default"/>
          <w:lang w:val="en-US" w:eastAsia="zh-CN"/>
        </w:rPr>
      </w:pPr>
      <w:bookmarkStart w:id="82" w:name="_Toc15191"/>
      <w:r>
        <w:rPr>
          <w:rFonts w:hint="default"/>
          <w:lang w:val="en-US" w:eastAsia="zh-CN"/>
        </w:rPr>
        <w:t>3 环境现状调查与评价</w:t>
      </w:r>
      <w:bookmarkEnd w:id="82"/>
    </w:p>
    <w:p>
      <w:pPr>
        <w:pStyle w:val="4"/>
        <w:bidi w:val="0"/>
        <w:rPr>
          <w:rFonts w:hint="default"/>
        </w:rPr>
      </w:pPr>
      <w:bookmarkStart w:id="83" w:name="_Toc21009"/>
      <w:r>
        <w:rPr>
          <w:rFonts w:hint="default"/>
          <w:lang w:val="en-US" w:eastAsia="zh-CN"/>
        </w:rPr>
        <w:t>3.1.</w:t>
      </w:r>
      <w:r>
        <w:rPr>
          <w:rFonts w:hint="default"/>
        </w:rPr>
        <w:t>自然环境概况</w:t>
      </w:r>
      <w:bookmarkEnd w:id="83"/>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rPr>
      </w:pPr>
      <w:bookmarkStart w:id="84" w:name="3.1.1地形地貌"/>
      <w:bookmarkEnd w:id="84"/>
      <w:bookmarkStart w:id="85" w:name="3.1.1地形地貌"/>
      <w:bookmarkEnd w:id="85"/>
      <w:r>
        <w:rPr>
          <w:rFonts w:hint="default" w:ascii="Times New Roman" w:hAnsi="Times New Roman" w:cs="Times New Roman"/>
          <w:sz w:val="24"/>
          <w:szCs w:val="24"/>
          <w:lang w:val="en-US" w:eastAsia="zh-CN"/>
        </w:rPr>
        <w:t>3.1.1.</w:t>
      </w:r>
      <w:r>
        <w:rPr>
          <w:rFonts w:hint="default" w:ascii="Times New Roman" w:hAnsi="Times New Roman" w:cs="Times New Roman"/>
          <w:sz w:val="24"/>
          <w:szCs w:val="24"/>
        </w:rPr>
        <w:t>地形地貌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渠县，隶属于四川省达州市，位于达州市西南部，与广安</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南充</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巴中山水相连，</w:t>
      </w:r>
      <w:r>
        <w:rPr>
          <w:rFonts w:hint="default" w:ascii="Times New Roman" w:hAnsi="Times New Roman" w:eastAsia="宋体" w:cs="Times New Roman"/>
          <w:b w:val="0"/>
          <w:bCs w:val="0"/>
          <w:sz w:val="24"/>
          <w:szCs w:val="24"/>
          <w:highlight w:val="none"/>
          <w:lang w:val="en-US" w:eastAsia="zh-CN" w:bidi="zh-CN"/>
        </w:rPr>
        <w:fldChar w:fldCharType="begin"/>
      </w:r>
      <w:r>
        <w:rPr>
          <w:rFonts w:hint="default" w:ascii="Times New Roman" w:hAnsi="Times New Roman" w:eastAsia="宋体" w:cs="Times New Roman"/>
          <w:b w:val="0"/>
          <w:bCs w:val="0"/>
          <w:sz w:val="24"/>
          <w:szCs w:val="24"/>
          <w:highlight w:val="none"/>
          <w:lang w:val="en-US" w:eastAsia="zh-CN" w:bidi="zh-CN"/>
        </w:rPr>
        <w:instrText xml:space="preserve"> HYPERLINK "https://www.monseng.com/locals" </w:instrText>
      </w:r>
      <w:r>
        <w:rPr>
          <w:rFonts w:hint="default" w:ascii="Times New Roman" w:hAnsi="Times New Roman" w:eastAsia="宋体" w:cs="Times New Roman"/>
          <w:b w:val="0"/>
          <w:bCs w:val="0"/>
          <w:sz w:val="24"/>
          <w:szCs w:val="24"/>
          <w:highlight w:val="none"/>
          <w:lang w:val="en-US" w:eastAsia="zh-CN" w:bidi="zh-CN"/>
        </w:rPr>
        <w:fldChar w:fldCharType="separate"/>
      </w:r>
      <w:r>
        <w:rPr>
          <w:rFonts w:hint="default" w:ascii="Times New Roman" w:hAnsi="Times New Roman" w:eastAsia="宋体" w:cs="Times New Roman"/>
          <w:b w:val="0"/>
          <w:bCs w:val="0"/>
          <w:sz w:val="24"/>
          <w:szCs w:val="24"/>
          <w:highlight w:val="none"/>
          <w:lang w:val="en-US" w:eastAsia="zh-CN" w:bidi="zh-CN"/>
        </w:rPr>
        <w:t>地理</w:t>
      </w:r>
      <w:r>
        <w:rPr>
          <w:rFonts w:hint="default" w:ascii="Times New Roman" w:hAnsi="Times New Roman" w:eastAsia="宋体" w:cs="Times New Roman"/>
          <w:b w:val="0"/>
          <w:bCs w:val="0"/>
          <w:sz w:val="24"/>
          <w:szCs w:val="24"/>
          <w:highlight w:val="none"/>
          <w:lang w:val="en-US" w:eastAsia="zh-CN" w:bidi="zh-CN"/>
        </w:rPr>
        <w:fldChar w:fldCharType="end"/>
      </w:r>
      <w:r>
        <w:rPr>
          <w:rFonts w:hint="default" w:ascii="Times New Roman" w:hAnsi="Times New Roman" w:eastAsia="宋体" w:cs="Times New Roman"/>
          <w:b w:val="0"/>
          <w:bCs w:val="0"/>
          <w:sz w:val="24"/>
          <w:szCs w:val="24"/>
          <w:highlight w:val="none"/>
          <w:lang w:val="en-US" w:eastAsia="zh-CN" w:bidi="zh-CN"/>
        </w:rPr>
        <w:t>坐标为东经106°38′—107°15′，北纬30°38′—31°16′。地处川东平行岭谷区和川中紫色丘陵区的过渡地带，属亚热带季风气候。渠县位于四川盆地东部，华蓥山北段西侧，属川东平行岭谷区和川中紫色丘陵区的过渡地带。东接大竹，西连营山</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蓬安，北界达州市达川区与巴中市平昌县，南通广安。东西宽36千米，南北长55.55千米，边界线总长283.5千米。项目区位于四川省</w:t>
      </w:r>
      <w:r>
        <w:rPr>
          <w:rFonts w:hint="default" w:ascii="Times New Roman" w:hAnsi="Times New Roman" w:cs="Times New Roman"/>
          <w:b w:val="0"/>
          <w:bCs w:val="0"/>
          <w:sz w:val="24"/>
          <w:szCs w:val="24"/>
          <w:highlight w:val="none"/>
          <w:lang w:val="en-US" w:eastAsia="zh-CN" w:bidi="zh-CN"/>
        </w:rPr>
        <w:t>达州市渠县临巴镇</w:t>
      </w:r>
      <w:r>
        <w:rPr>
          <w:rFonts w:hint="default" w:ascii="Times New Roman" w:hAnsi="Times New Roman" w:eastAsia="宋体" w:cs="Times New Roman"/>
          <w:b w:val="0"/>
          <w:bCs w:val="0"/>
          <w:sz w:val="24"/>
          <w:szCs w:val="24"/>
          <w:highlight w:val="none"/>
          <w:lang w:val="en-US" w:eastAsia="zh-CN" w:bidi="zh-CN"/>
        </w:rPr>
        <w:t>。公路起于</w:t>
      </w:r>
      <w:r>
        <w:rPr>
          <w:rFonts w:hint="default" w:ascii="Times New Roman" w:hAnsi="Times New Roman" w:cs="Times New Roman"/>
          <w:b w:val="0"/>
          <w:bCs w:val="0"/>
          <w:sz w:val="24"/>
          <w:szCs w:val="24"/>
          <w:highlight w:val="none"/>
          <w:lang w:val="en-US" w:eastAsia="zh-CN" w:bidi="zh-CN"/>
        </w:rPr>
        <w:t>临巴镇幸福村</w:t>
      </w:r>
      <w:r>
        <w:rPr>
          <w:rFonts w:hint="default" w:ascii="Times New Roman" w:hAnsi="Times New Roman" w:eastAsia="宋体" w:cs="Times New Roman"/>
          <w:b w:val="0"/>
          <w:bCs w:val="0"/>
          <w:sz w:val="24"/>
          <w:szCs w:val="24"/>
          <w:highlight w:val="none"/>
          <w:lang w:val="en-US" w:eastAsia="zh-CN" w:bidi="zh-CN"/>
        </w:rPr>
        <w:t>， 止于</w:t>
      </w:r>
      <w:r>
        <w:rPr>
          <w:rFonts w:hint="default" w:ascii="Times New Roman" w:hAnsi="Times New Roman" w:cs="Times New Roman"/>
          <w:b w:val="0"/>
          <w:bCs w:val="0"/>
          <w:sz w:val="24"/>
          <w:szCs w:val="24"/>
          <w:highlight w:val="none"/>
          <w:lang w:val="en-US" w:eastAsia="zh-CN" w:bidi="zh-CN"/>
        </w:rPr>
        <w:t>临巴镇幸福大道</w:t>
      </w:r>
      <w:r>
        <w:rPr>
          <w:rFonts w:hint="default" w:ascii="Times New Roman" w:hAnsi="Times New Roman" w:eastAsia="宋体" w:cs="Times New Roman"/>
          <w:b w:val="0"/>
          <w:bCs w:val="0"/>
          <w:sz w:val="24"/>
          <w:szCs w:val="24"/>
          <w:highlight w:val="none"/>
          <w:lang w:val="en-US" w:eastAsia="zh-CN" w:bidi="zh-CN"/>
        </w:rPr>
        <w:t>，路线总体走向为</w:t>
      </w:r>
      <w:r>
        <w:rPr>
          <w:rFonts w:hint="default" w:ascii="Times New Roman" w:hAnsi="Times New Roman" w:cs="Times New Roman"/>
          <w:b w:val="0"/>
          <w:bCs w:val="0"/>
          <w:sz w:val="24"/>
          <w:szCs w:val="24"/>
          <w:highlight w:val="none"/>
          <w:lang w:val="en-US" w:eastAsia="zh-CN" w:bidi="zh-CN"/>
        </w:rPr>
        <w:t>北</w:t>
      </w:r>
      <w:r>
        <w:rPr>
          <w:rFonts w:hint="default" w:ascii="Times New Roman" w:hAnsi="Times New Roman" w:eastAsia="宋体" w:cs="Times New Roman"/>
          <w:b w:val="0"/>
          <w:bCs w:val="0"/>
          <w:sz w:val="24"/>
          <w:szCs w:val="24"/>
          <w:highlight w:val="none"/>
          <w:lang w:val="en-US" w:eastAsia="zh-CN" w:bidi="zh-CN"/>
        </w:rPr>
        <w:t>至</w:t>
      </w:r>
      <w:r>
        <w:rPr>
          <w:rFonts w:hint="default" w:ascii="Times New Roman" w:hAnsi="Times New Roman" w:cs="Times New Roman"/>
          <w:b w:val="0"/>
          <w:bCs w:val="0"/>
          <w:sz w:val="24"/>
          <w:szCs w:val="24"/>
          <w:highlight w:val="none"/>
          <w:lang w:val="en-US" w:eastAsia="zh-CN" w:bidi="zh-CN"/>
        </w:rPr>
        <w:t>南</w:t>
      </w:r>
      <w:r>
        <w:rPr>
          <w:rFonts w:hint="default" w:ascii="Times New Roman" w:hAnsi="Times New Roman" w:eastAsia="宋体" w:cs="Times New Roman"/>
          <w:b w:val="0"/>
          <w:bCs w:val="0"/>
          <w:sz w:val="24"/>
          <w:szCs w:val="24"/>
          <w:highlight w:val="none"/>
          <w:lang w:val="en-US" w:eastAsia="zh-CN" w:bidi="zh-CN"/>
        </w:rPr>
        <w:t>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项目区海拔 2</w:t>
      </w:r>
      <w:r>
        <w:rPr>
          <w:rFonts w:hint="default" w:ascii="Times New Roman" w:hAnsi="Times New Roman" w:cs="Times New Roman"/>
          <w:b w:val="0"/>
          <w:bCs w:val="0"/>
          <w:sz w:val="24"/>
          <w:szCs w:val="24"/>
          <w:highlight w:val="none"/>
          <w:lang w:val="en-US" w:eastAsia="zh-CN" w:bidi="zh-CN"/>
        </w:rPr>
        <w:t>44</w:t>
      </w:r>
      <w:r>
        <w:rPr>
          <w:rFonts w:hint="default" w:ascii="Times New Roman" w:hAnsi="Times New Roman" w:eastAsia="宋体"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313</w:t>
      </w:r>
      <w:r>
        <w:rPr>
          <w:rFonts w:hint="default" w:ascii="Times New Roman" w:hAnsi="Times New Roman" w:eastAsia="宋体" w:cs="Times New Roman"/>
          <w:b w:val="0"/>
          <w:bCs w:val="0"/>
          <w:sz w:val="24"/>
          <w:szCs w:val="24"/>
          <w:highlight w:val="none"/>
          <w:lang w:val="en-US" w:eastAsia="zh-CN" w:bidi="zh-CN"/>
        </w:rPr>
        <w:t xml:space="preserve"> 米，</w:t>
      </w:r>
      <w:r>
        <w:rPr>
          <w:rFonts w:hint="default" w:ascii="Times New Roman" w:hAnsi="Times New Roman" w:cs="Times New Roman"/>
          <w:b w:val="0"/>
          <w:bCs w:val="0"/>
          <w:sz w:val="24"/>
          <w:szCs w:val="24"/>
          <w:highlight w:val="none"/>
          <w:lang w:val="en-US" w:eastAsia="zh-CN" w:bidi="zh-CN"/>
        </w:rPr>
        <w:t>距渠河约500米</w:t>
      </w:r>
      <w:r>
        <w:rPr>
          <w:rFonts w:hint="default" w:ascii="Times New Roman" w:hAnsi="Times New Roman" w:eastAsia="宋体"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2处跨越渠河支流，</w:t>
      </w:r>
      <w:r>
        <w:rPr>
          <w:rFonts w:hint="default" w:ascii="Times New Roman" w:hAnsi="Times New Roman" w:eastAsia="宋体" w:cs="Times New Roman"/>
          <w:b w:val="0"/>
          <w:bCs w:val="0"/>
          <w:sz w:val="24"/>
          <w:szCs w:val="24"/>
          <w:highlight w:val="none"/>
          <w:lang w:val="en-US" w:eastAsia="zh-CN" w:bidi="zh-CN"/>
        </w:rPr>
        <w:t>地貌类型以丘陵为主，丘坡多数为梯田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梯地，</w:t>
      </w:r>
      <w:r>
        <w:rPr>
          <w:rFonts w:hint="default" w:ascii="Times New Roman" w:hAnsi="Times New Roman" w:cs="Times New Roman"/>
          <w:b w:val="0"/>
          <w:bCs w:val="0"/>
          <w:sz w:val="24"/>
          <w:szCs w:val="24"/>
          <w:highlight w:val="none"/>
          <w:lang w:val="en-US" w:eastAsia="zh-CN" w:bidi="zh-CN"/>
        </w:rPr>
        <w:t>本项目路线短，地形简单。</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bookmarkStart w:id="86" w:name="3.1.2地层岩性"/>
      <w:bookmarkEnd w:id="86"/>
      <w:bookmarkStart w:id="87" w:name="3.1.2地层岩性"/>
      <w:bookmarkEnd w:id="87"/>
      <w:r>
        <w:rPr>
          <w:rFonts w:hint="default" w:ascii="Times New Roman" w:hAnsi="Times New Roman" w:cs="Times New Roman"/>
          <w:sz w:val="24"/>
          <w:szCs w:val="24"/>
          <w:lang w:val="en-US" w:eastAsia="zh-CN"/>
        </w:rPr>
        <w:t>3.1.2.地层岩性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县境东西北三面环山，东北高</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西南低平，海拔222-1196.2米，相对高差974.2米，平均海拔360米，绝大部分区域海拔在500米以下。渠县出露地层，从三叠系到第四系除白垩系</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第三系因沉积间断缺失外，其余均有分布，以侏罗系红色陆相地层分布最广。全县国土中，丘陵占总面积的60%，低山占29.1%，河谷阶地占10.9%。县境东部平均海拔在800米以上，东安与龙潭乡接界的万里坪海拔1196.2米为渠县第一高峰。西北部一带，为红层低山，海拔500-889米，柏水乡陈家寨主峰海拔889米为西北部最高点。余为连绵起伏的红色丘陵，海拔在300-500米不等。渠江</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流江河沿岸属侵蚀堆积层，形成平坝河谷和多级阶地。为川东北丘陵大县。本项目路线较短，项目规划路线主要通过第四系填土层</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冲洪积层</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残坡积层， 侏罗系中下统自流井组（J1-2Z）。</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第四系全新统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广泛分布于各地，其中分布于斜坡</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平台上的第四系残坡积层（Q4el+dl），一般厚 0-2m，为紫红色砂质粘土或粘质砂土，与下伏泥岩或砂岩呈渐变关系；分布于沟谷的第四系坡洪积层（Q4dl+pl），一般厚 2-14m，表层 1m 左右为壤化的耕土和水稻土。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2</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侏罗系地层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侏罗系中下统自流井组（J1-2Z）</w:t>
      </w:r>
      <w:r>
        <w:rPr>
          <w:rFonts w:hint="default" w:ascii="Times New Roman" w:hAnsi="Times New Roman" w:cs="Times New Roman"/>
          <w:b w:val="0"/>
          <w:bCs w:val="0"/>
          <w:sz w:val="24"/>
          <w:szCs w:val="24"/>
          <w:highlight w:val="none"/>
          <w:lang w:val="en-US" w:eastAsia="zh-CN" w:bidi="zh-CN"/>
        </w:rPr>
        <w:t>为</w:t>
      </w:r>
      <w:r>
        <w:rPr>
          <w:rFonts w:hint="default" w:ascii="Times New Roman" w:hAnsi="Times New Roman" w:eastAsia="宋体" w:cs="Times New Roman"/>
          <w:b w:val="0"/>
          <w:bCs w:val="0"/>
          <w:sz w:val="24"/>
          <w:szCs w:val="24"/>
          <w:highlight w:val="none"/>
          <w:lang w:val="en-US" w:eastAsia="zh-CN" w:bidi="zh-CN"/>
        </w:rPr>
        <w:t>紫红，黄绿色泥岩</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粉砂岩</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泥灰岩</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生物碎屑灰岩</w:t>
      </w:r>
      <w:r>
        <w:rPr>
          <w:rFonts w:hint="default" w:ascii="Times New Roman" w:hAnsi="Times New Roman" w:cs="Times New Roman"/>
          <w:b w:val="0"/>
          <w:bCs w:val="0"/>
          <w:sz w:val="24"/>
          <w:szCs w:val="24"/>
          <w:highlight w:val="none"/>
          <w:lang w:val="en-US" w:eastAsia="zh-CN" w:bidi="zh-CN"/>
        </w:rPr>
        <w:t>。</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3.1.3.地质构造与地震</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firstLine="480" w:firstLineChars="200"/>
        <w:textAlignment w:val="auto"/>
        <w:outlineLvl w:val="9"/>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1</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地质构造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b w:val="0"/>
          <w:bCs w:val="0"/>
          <w:sz w:val="24"/>
          <w:szCs w:val="24"/>
          <w:highlight w:val="none"/>
          <w:lang w:val="en-US" w:eastAsia="zh-CN" w:bidi="zh-CN"/>
        </w:rPr>
        <w:t>达州位于四川东北部，大巴山南麓，是重庆</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成都</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武汉</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西安交汇辐射的中心地带。大巴山是嘉陵江和汉江的分水岭，也是四川盆地和汉中盆地的地理界线。达州位居大巴山弧形构造中段的南侧与川东新华夏系构造的复合交接部位，地势由北向南倾斜，呈东北高，西南低，最高处是宣汉县鸡唱乡大团堡，海拔 2 458 m；最低处是渠县望溪乡天关村，海拔 222 m。大巴山横直在万源宣汉北部，明月山</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铜锣山</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华釜山由北而南，纵卧其间，将全市分割为山区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丘陵</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平坝 3 块。山地占幅员面积 70.70%，丘陵占28.10%，平坝占 1.20%。本项目属于华蓥山背斜</w:t>
      </w:r>
      <w:r>
        <w:rPr>
          <w:rFonts w:hint="default" w:ascii="Times New Roman" w:hAnsi="Times New Roman" w:cs="Times New Roman"/>
          <w:b w:val="0"/>
          <w:bCs w:val="0"/>
          <w:sz w:val="24"/>
          <w:szCs w:val="24"/>
          <w:highlight w:val="none"/>
          <w:lang w:val="en-US" w:eastAsia="zh-CN" w:bidi="zh-CN"/>
        </w:rPr>
        <w:t>。</w:t>
      </w:r>
    </w:p>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529330" cy="4436110"/>
            <wp:effectExtent l="0" t="0" r="13970" b="2540"/>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30"/>
                    <a:stretch>
                      <a:fillRect/>
                    </a:stretch>
                  </pic:blipFill>
                  <pic:spPr>
                    <a:xfrm>
                      <a:off x="0" y="0"/>
                      <a:ext cx="3529330" cy="443611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（1）大巴山褶皱带 （2）铁山背斜 （3）华蓥山背斜</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（4）中山背斜 （5）峨层山背斜 （6）赫天祠背斜</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kern w:val="0"/>
          <w:sz w:val="24"/>
          <w:szCs w:val="24"/>
          <w:highlight w:val="none"/>
          <w:lang w:val="en-US" w:eastAsia="zh-CN" w:bidi="zh-CN"/>
        </w:rPr>
      </w:pPr>
      <w:r>
        <w:rPr>
          <w:rFonts w:hint="default" w:ascii="Times New Roman" w:hAnsi="Times New Roman" w:eastAsia="宋体" w:cs="Times New Roman"/>
          <w:b w:val="0"/>
          <w:bCs w:val="0"/>
          <w:kern w:val="0"/>
          <w:sz w:val="24"/>
          <w:szCs w:val="24"/>
          <w:highlight w:val="none"/>
          <w:lang w:val="en-US" w:eastAsia="zh-CN" w:bidi="zh-CN"/>
        </w:rPr>
        <w:t>地区构造单元属于扬子准地台的川东降褶束，主要褶曲自东北向南弧形散开展布，组成华蓥山帚状构造体系，带内褶皱发育，断裂少见。</w:t>
      </w:r>
      <w:r>
        <w:rPr>
          <w:rFonts w:hint="default" w:ascii="Times New Roman" w:hAnsi="Times New Roman" w:cs="Times New Roman"/>
          <w:b w:val="0"/>
          <w:bCs w:val="0"/>
          <w:kern w:val="0"/>
          <w:sz w:val="24"/>
          <w:szCs w:val="24"/>
          <w:highlight w:val="none"/>
          <w:lang w:val="en-US" w:eastAsia="zh-CN" w:bidi="zh-CN"/>
        </w:rPr>
        <w:t>项目</w:t>
      </w:r>
      <w:r>
        <w:rPr>
          <w:rFonts w:hint="default" w:ascii="Times New Roman" w:hAnsi="Times New Roman" w:eastAsia="宋体" w:cs="Times New Roman"/>
          <w:b w:val="0"/>
          <w:bCs w:val="0"/>
          <w:kern w:val="0"/>
          <w:sz w:val="24"/>
          <w:szCs w:val="24"/>
          <w:highlight w:val="none"/>
          <w:lang w:val="en-US" w:eastAsia="zh-CN" w:bidi="zh-CN"/>
        </w:rPr>
        <w:t>区褶皱均系华蓥山复式背斜向南分支延长，向西突出弧形伸展，向南展布，背斜褶皱紧闭，向斜褶皱宽缓，横剖面上组成典型的</w:t>
      </w:r>
      <w:r>
        <w:rPr>
          <w:rFonts w:hint="eastAsia" w:ascii="Times New Roman" w:hAnsi="Times New Roman" w:cs="Times New Roman"/>
          <w:b w:val="0"/>
          <w:bCs w:val="0"/>
          <w:kern w:val="0"/>
          <w:sz w:val="24"/>
          <w:szCs w:val="24"/>
          <w:highlight w:val="none"/>
          <w:lang w:val="en-US" w:eastAsia="zh-CN" w:bidi="zh-CN"/>
        </w:rPr>
        <w:t>隔挡</w:t>
      </w:r>
      <w:r>
        <w:rPr>
          <w:rFonts w:hint="default" w:ascii="Times New Roman" w:hAnsi="Times New Roman" w:eastAsia="宋体" w:cs="Times New Roman"/>
          <w:b w:val="0"/>
          <w:bCs w:val="0"/>
          <w:kern w:val="0"/>
          <w:sz w:val="24"/>
          <w:szCs w:val="24"/>
          <w:highlight w:val="none"/>
          <w:lang w:val="en-US" w:eastAsia="zh-CN" w:bidi="zh-CN"/>
        </w:rPr>
        <w:t>式构造。华銮山帚状构造带之主背斜为宝顶背斜，它北起广安的天池附近，南至渝北区。而华菱山的断层主要发育在各背斜突起的高点，多沿核部地层纵向延伸，组成走向逆断层组。褶皱带一华鉴山断裂和七曜山断裂规模最大，其影响达到地壳深部。銮山断裂带是</w:t>
      </w:r>
      <w:r>
        <w:rPr>
          <w:rFonts w:hint="eastAsia" w:ascii="Times New Roman" w:hAnsi="Times New Roman" w:cs="Times New Roman"/>
          <w:b w:val="0"/>
          <w:bCs w:val="0"/>
          <w:kern w:val="0"/>
          <w:sz w:val="24"/>
          <w:szCs w:val="24"/>
          <w:highlight w:val="none"/>
          <w:lang w:val="en-US" w:eastAsia="zh-CN" w:bidi="zh-CN"/>
        </w:rPr>
        <w:t>华蓥山</w:t>
      </w:r>
      <w:r>
        <w:rPr>
          <w:rFonts w:hint="default" w:ascii="Times New Roman" w:hAnsi="Times New Roman" w:eastAsia="宋体" w:cs="Times New Roman"/>
          <w:b w:val="0"/>
          <w:bCs w:val="0"/>
          <w:kern w:val="0"/>
          <w:sz w:val="24"/>
          <w:szCs w:val="24"/>
          <w:highlight w:val="none"/>
          <w:lang w:val="en-US" w:eastAsia="zh-CN" w:bidi="zh-CN"/>
        </w:rPr>
        <w:t>复式背斜最主要的断裂带，北起四川广安天池南，南止于合川市皮家山南，断裂带分布在宝顶背斜核部及北西翼，有数条近平行大断层的组成的巨大叠瓦式走向逆断层组。</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firstLine="480" w:firstLineChars="200"/>
        <w:textAlignment w:val="auto"/>
        <w:outlineLvl w:val="9"/>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b w:val="0"/>
          <w:bCs w:val="0"/>
          <w:sz w:val="24"/>
          <w:szCs w:val="24"/>
          <w:highlight w:val="none"/>
          <w:lang w:val="en-US" w:eastAsia="zh-CN" w:bidi="zh-CN"/>
        </w:rPr>
        <w:t>2</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cs="Times New Roman"/>
          <w:b w:val="0"/>
          <w:bCs w:val="0"/>
          <w:sz w:val="24"/>
          <w:szCs w:val="24"/>
          <w:highlight w:val="none"/>
          <w:lang w:val="en-US" w:eastAsia="zh-CN" w:bidi="zh-CN"/>
        </w:rPr>
        <w:t>地震</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kern w:val="0"/>
          <w:sz w:val="24"/>
          <w:szCs w:val="24"/>
          <w:highlight w:val="none"/>
          <w:lang w:val="en-US" w:eastAsia="zh-CN" w:bidi="zh-CN"/>
        </w:rPr>
      </w:pPr>
      <w:r>
        <w:rPr>
          <w:rFonts w:hint="default" w:ascii="Times New Roman" w:hAnsi="Times New Roman" w:eastAsia="宋体" w:cs="Times New Roman"/>
          <w:b w:val="0"/>
          <w:bCs w:val="0"/>
          <w:kern w:val="0"/>
          <w:sz w:val="24"/>
          <w:szCs w:val="24"/>
          <w:highlight w:val="none"/>
          <w:lang w:val="en-US" w:eastAsia="zh-CN" w:bidi="zh-CN"/>
        </w:rPr>
        <w:t>（1）新构造运动</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kern w:val="0"/>
          <w:sz w:val="24"/>
          <w:szCs w:val="24"/>
          <w:highlight w:val="none"/>
          <w:lang w:val="en-US" w:eastAsia="zh-CN" w:bidi="zh-CN"/>
        </w:rPr>
      </w:pPr>
      <w:r>
        <w:rPr>
          <w:rFonts w:hint="default" w:ascii="Times New Roman" w:hAnsi="Times New Roman" w:eastAsia="宋体" w:cs="Times New Roman"/>
          <w:b w:val="0"/>
          <w:bCs w:val="0"/>
          <w:kern w:val="0"/>
          <w:sz w:val="24"/>
          <w:szCs w:val="24"/>
          <w:highlight w:val="none"/>
          <w:lang w:val="en-US" w:eastAsia="zh-CN" w:bidi="zh-CN"/>
        </w:rPr>
        <w:t>工程区新构造运动不太明显，第四系以剥蚀为主，沉积物不甚发育。在外围</w:t>
      </w:r>
      <w:r>
        <w:rPr>
          <w:rFonts w:hint="default" w:ascii="Times New Roman" w:hAnsi="Times New Roman" w:cs="Times New Roman"/>
          <w:b w:val="0"/>
          <w:bCs w:val="0"/>
          <w:kern w:val="0"/>
          <w:sz w:val="24"/>
          <w:szCs w:val="24"/>
          <w:highlight w:val="none"/>
          <w:lang w:val="en-US" w:eastAsia="zh-CN" w:bidi="zh-CN"/>
        </w:rPr>
        <w:t>南</w:t>
      </w:r>
      <w:r>
        <w:rPr>
          <w:rFonts w:hint="default" w:ascii="Times New Roman" w:hAnsi="Times New Roman" w:eastAsia="宋体" w:cs="Times New Roman"/>
          <w:b w:val="0"/>
          <w:bCs w:val="0"/>
          <w:kern w:val="0"/>
          <w:sz w:val="24"/>
          <w:szCs w:val="24"/>
          <w:highlight w:val="none"/>
          <w:lang w:val="en-US" w:eastAsia="zh-CN" w:bidi="zh-CN"/>
        </w:rPr>
        <w:t>侧渠江流域发育雅安砾石层，高出江面50~100m，显示为上升型地貌结构，表明该区挽近时期构造运动以上升为主。其次是对老构造的继承性活动，如川东褶皱带形成平行岭谷地形，表征老构造的继承性活动。</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kern w:val="0"/>
          <w:sz w:val="24"/>
          <w:szCs w:val="24"/>
          <w:highlight w:val="none"/>
          <w:lang w:val="en-US" w:eastAsia="zh-CN" w:bidi="zh-CN"/>
        </w:rPr>
      </w:pPr>
      <w:r>
        <w:rPr>
          <w:rFonts w:hint="default" w:ascii="Times New Roman" w:hAnsi="Times New Roman" w:eastAsia="宋体" w:cs="Times New Roman"/>
          <w:b w:val="0"/>
          <w:bCs w:val="0"/>
          <w:kern w:val="0"/>
          <w:sz w:val="24"/>
          <w:szCs w:val="24"/>
          <w:highlight w:val="none"/>
          <w:lang w:val="en-US" w:eastAsia="zh-CN" w:bidi="zh-CN"/>
        </w:rPr>
        <w:t>（2）地震</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kern w:val="0"/>
          <w:sz w:val="24"/>
          <w:szCs w:val="24"/>
          <w:highlight w:val="none"/>
          <w:lang w:val="en-US" w:eastAsia="zh-CN" w:bidi="zh-CN"/>
        </w:rPr>
      </w:pPr>
      <w:r>
        <w:rPr>
          <w:rFonts w:hint="default" w:ascii="Times New Roman" w:hAnsi="Times New Roman" w:eastAsia="宋体" w:cs="Times New Roman"/>
          <w:b w:val="0"/>
          <w:bCs w:val="0"/>
          <w:kern w:val="0"/>
          <w:sz w:val="24"/>
          <w:szCs w:val="24"/>
          <w:highlight w:val="none"/>
          <w:lang w:val="en-US" w:eastAsia="zh-CN" w:bidi="zh-CN"/>
        </w:rPr>
        <w:t>根据《中国地震动参数区划图（GB18306-2015）》，项目区的地震动峰值加速度为0.05g，反应谱特征周期为0.35s，抗震设防烈度VI度。</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kern w:val="0"/>
          <w:sz w:val="24"/>
          <w:szCs w:val="24"/>
          <w:highlight w:val="none"/>
          <w:lang w:val="en-US" w:eastAsia="zh-CN" w:bidi="zh-CN"/>
        </w:rPr>
      </w:pPr>
      <w:r>
        <w:rPr>
          <w:rFonts w:hint="default" w:ascii="Times New Roman" w:hAnsi="Times New Roman" w:eastAsia="宋体" w:cs="Times New Roman"/>
          <w:b w:val="0"/>
          <w:bCs w:val="0"/>
          <w:kern w:val="0"/>
          <w:sz w:val="24"/>
          <w:szCs w:val="24"/>
          <w:highlight w:val="none"/>
          <w:lang w:val="en-US" w:eastAsia="zh-CN" w:bidi="zh-CN"/>
        </w:rPr>
        <w:t>3.1.3.不良地质</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kern w:val="0"/>
          <w:sz w:val="24"/>
          <w:szCs w:val="24"/>
          <w:highlight w:val="none"/>
          <w:lang w:val="en-US" w:eastAsia="zh-CN" w:bidi="zh-CN"/>
        </w:rPr>
      </w:pPr>
      <w:r>
        <w:rPr>
          <w:rFonts w:hint="default" w:ascii="Times New Roman" w:hAnsi="Times New Roman" w:eastAsia="宋体" w:cs="Times New Roman"/>
          <w:b w:val="0"/>
          <w:bCs w:val="0"/>
          <w:kern w:val="0"/>
          <w:sz w:val="24"/>
          <w:szCs w:val="24"/>
          <w:highlight w:val="none"/>
          <w:lang w:val="en-US" w:eastAsia="zh-CN" w:bidi="zh-CN"/>
        </w:rPr>
        <w:t>本工程沿线</w:t>
      </w:r>
      <w:r>
        <w:rPr>
          <w:rFonts w:hint="default" w:ascii="Times New Roman" w:hAnsi="Times New Roman" w:cs="Times New Roman"/>
          <w:b w:val="0"/>
          <w:bCs w:val="0"/>
          <w:kern w:val="0"/>
          <w:sz w:val="24"/>
          <w:szCs w:val="24"/>
          <w:highlight w:val="none"/>
          <w:lang w:val="en-US" w:eastAsia="zh-CN" w:bidi="zh-CN"/>
        </w:rPr>
        <w:t>无</w:t>
      </w:r>
      <w:r>
        <w:rPr>
          <w:rFonts w:hint="default" w:ascii="Times New Roman" w:hAnsi="Times New Roman" w:eastAsia="宋体" w:cs="Times New Roman"/>
          <w:b w:val="0"/>
          <w:bCs w:val="0"/>
          <w:kern w:val="0"/>
          <w:sz w:val="24"/>
          <w:szCs w:val="24"/>
          <w:highlight w:val="none"/>
          <w:lang w:val="en-US" w:eastAsia="zh-CN" w:bidi="zh-CN"/>
        </w:rPr>
        <w:t>不良地质</w:t>
      </w:r>
      <w:r>
        <w:rPr>
          <w:rFonts w:hint="default" w:ascii="Times New Roman" w:hAnsi="Times New Roman" w:cs="Times New Roman"/>
          <w:b w:val="0"/>
          <w:bCs w:val="0"/>
          <w:kern w:val="0"/>
          <w:sz w:val="24"/>
          <w:szCs w:val="24"/>
          <w:highlight w:val="none"/>
          <w:lang w:val="en-US" w:eastAsia="zh-CN" w:bidi="zh-CN"/>
        </w:rPr>
        <w:t>。</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3.1.4.水文地质条件</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kern w:val="0"/>
          <w:sz w:val="24"/>
          <w:szCs w:val="24"/>
          <w:highlight w:val="none"/>
          <w:lang w:val="en-US" w:eastAsia="zh-CN" w:bidi="zh-CN"/>
        </w:rPr>
      </w:pPr>
      <w:r>
        <w:rPr>
          <w:rFonts w:hint="default" w:ascii="Times New Roman" w:hAnsi="Times New Roman" w:cs="Times New Roman"/>
          <w:b w:val="0"/>
          <w:bCs w:val="0"/>
          <w:kern w:val="0"/>
          <w:sz w:val="24"/>
          <w:szCs w:val="24"/>
          <w:highlight w:val="none"/>
          <w:lang w:val="en-US" w:eastAsia="zh-CN" w:bidi="zh-CN"/>
        </w:rPr>
        <w:t>1</w:t>
      </w:r>
      <w:r>
        <w:rPr>
          <w:rFonts w:hint="eastAsia" w:ascii="Times New Roman" w:hAnsi="Times New Roman" w:cs="Times New Roman"/>
          <w:b w:val="0"/>
          <w:bCs w:val="0"/>
          <w:kern w:val="0"/>
          <w:sz w:val="24"/>
          <w:szCs w:val="24"/>
          <w:highlight w:val="none"/>
          <w:lang w:val="en-US" w:eastAsia="zh-CN" w:bidi="zh-CN"/>
        </w:rPr>
        <w:t>、</w:t>
      </w:r>
      <w:r>
        <w:rPr>
          <w:rFonts w:hint="default" w:ascii="Times New Roman" w:hAnsi="Times New Roman" w:cs="Times New Roman"/>
          <w:b w:val="0"/>
          <w:bCs w:val="0"/>
          <w:kern w:val="0"/>
          <w:sz w:val="24"/>
          <w:szCs w:val="24"/>
          <w:highlight w:val="none"/>
          <w:lang w:val="en-US" w:eastAsia="zh-CN" w:bidi="zh-CN"/>
        </w:rPr>
        <w:t>地表水</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kern w:val="0"/>
          <w:sz w:val="24"/>
          <w:szCs w:val="24"/>
          <w:highlight w:val="none"/>
          <w:lang w:val="en-US" w:eastAsia="zh-CN" w:bidi="zh-CN"/>
        </w:rPr>
      </w:pPr>
      <w:r>
        <w:rPr>
          <w:rFonts w:hint="default" w:ascii="Times New Roman" w:hAnsi="Times New Roman" w:eastAsia="宋体" w:cs="Times New Roman"/>
          <w:b w:val="0"/>
          <w:bCs w:val="0"/>
          <w:kern w:val="0"/>
          <w:sz w:val="24"/>
          <w:szCs w:val="24"/>
          <w:highlight w:val="none"/>
          <w:lang w:val="en-US" w:eastAsia="zh-CN" w:bidi="zh-CN"/>
        </w:rPr>
        <w:t>工程区属于渠江流域，境内无大江大河，主要有东柳河</w:t>
      </w:r>
      <w:r>
        <w:rPr>
          <w:rFonts w:hint="eastAsia" w:ascii="Times New Roman" w:hAnsi="Times New Roman" w:cs="Times New Roman"/>
          <w:b w:val="0"/>
          <w:bCs w:val="0"/>
          <w:kern w:val="0"/>
          <w:sz w:val="24"/>
          <w:szCs w:val="24"/>
          <w:highlight w:val="none"/>
          <w:lang w:val="en-US" w:eastAsia="zh-CN" w:bidi="zh-CN"/>
        </w:rPr>
        <w:t>、</w:t>
      </w:r>
      <w:r>
        <w:rPr>
          <w:rFonts w:hint="default" w:ascii="Times New Roman" w:hAnsi="Times New Roman" w:eastAsia="宋体" w:cs="Times New Roman"/>
          <w:b w:val="0"/>
          <w:bCs w:val="0"/>
          <w:kern w:val="0"/>
          <w:sz w:val="24"/>
          <w:szCs w:val="24"/>
          <w:highlight w:val="none"/>
          <w:lang w:val="en-US" w:eastAsia="zh-CN" w:bidi="zh-CN"/>
        </w:rPr>
        <w:t>铜钵河</w:t>
      </w:r>
      <w:r>
        <w:rPr>
          <w:rFonts w:hint="eastAsia" w:ascii="Times New Roman" w:hAnsi="Times New Roman" w:cs="Times New Roman"/>
          <w:b w:val="0"/>
          <w:bCs w:val="0"/>
          <w:kern w:val="0"/>
          <w:sz w:val="24"/>
          <w:szCs w:val="24"/>
          <w:highlight w:val="none"/>
          <w:lang w:val="en-US" w:eastAsia="zh-CN" w:bidi="zh-CN"/>
        </w:rPr>
        <w:t>、</w:t>
      </w:r>
      <w:r>
        <w:rPr>
          <w:rFonts w:hint="default" w:ascii="Times New Roman" w:hAnsi="Times New Roman" w:eastAsia="宋体" w:cs="Times New Roman"/>
          <w:b w:val="0"/>
          <w:bCs w:val="0"/>
          <w:kern w:val="0"/>
          <w:sz w:val="24"/>
          <w:szCs w:val="24"/>
          <w:highlight w:val="none"/>
          <w:lang w:val="en-US" w:eastAsia="zh-CN" w:bidi="zh-CN"/>
        </w:rPr>
        <w:t>黄滩河</w:t>
      </w:r>
      <w:r>
        <w:rPr>
          <w:rFonts w:hint="eastAsia" w:ascii="Times New Roman" w:hAnsi="Times New Roman" w:cs="Times New Roman"/>
          <w:b w:val="0"/>
          <w:bCs w:val="0"/>
          <w:kern w:val="0"/>
          <w:sz w:val="24"/>
          <w:szCs w:val="24"/>
          <w:highlight w:val="none"/>
          <w:lang w:val="en-US" w:eastAsia="zh-CN" w:bidi="zh-CN"/>
        </w:rPr>
        <w:t>、</w:t>
      </w:r>
      <w:r>
        <w:rPr>
          <w:rFonts w:hint="default" w:ascii="Times New Roman" w:hAnsi="Times New Roman" w:eastAsia="宋体" w:cs="Times New Roman"/>
          <w:b w:val="0"/>
          <w:bCs w:val="0"/>
          <w:kern w:val="0"/>
          <w:sz w:val="24"/>
          <w:szCs w:val="24"/>
          <w:highlight w:val="none"/>
          <w:lang w:val="en-US" w:eastAsia="zh-CN" w:bidi="zh-CN"/>
        </w:rPr>
        <w:t>西河等4条较大河流</w:t>
      </w:r>
      <w:r>
        <w:rPr>
          <w:rFonts w:hint="eastAsia" w:ascii="Times New Roman" w:hAnsi="Times New Roman" w:cs="Times New Roman"/>
          <w:b w:val="0"/>
          <w:bCs w:val="0"/>
          <w:kern w:val="0"/>
          <w:sz w:val="24"/>
          <w:szCs w:val="24"/>
          <w:highlight w:val="none"/>
          <w:lang w:val="en-US" w:eastAsia="zh-CN" w:bidi="zh-CN"/>
        </w:rPr>
        <w:t>、</w:t>
      </w:r>
      <w:r>
        <w:rPr>
          <w:rFonts w:hint="default" w:ascii="Times New Roman" w:hAnsi="Times New Roman" w:eastAsia="宋体" w:cs="Times New Roman"/>
          <w:b w:val="0"/>
          <w:bCs w:val="0"/>
          <w:kern w:val="0"/>
          <w:sz w:val="24"/>
          <w:szCs w:val="24"/>
          <w:highlight w:val="none"/>
          <w:lang w:val="en-US" w:eastAsia="zh-CN" w:bidi="zh-CN"/>
        </w:rPr>
        <w:t>7条较长溪水</w:t>
      </w:r>
      <w:r>
        <w:rPr>
          <w:rFonts w:hint="eastAsia" w:ascii="Times New Roman" w:hAnsi="Times New Roman" w:cs="Times New Roman"/>
          <w:b w:val="0"/>
          <w:bCs w:val="0"/>
          <w:kern w:val="0"/>
          <w:sz w:val="24"/>
          <w:szCs w:val="24"/>
          <w:highlight w:val="none"/>
          <w:lang w:val="en-US" w:eastAsia="zh-CN" w:bidi="zh-CN"/>
        </w:rPr>
        <w:t>、</w:t>
      </w:r>
      <w:r>
        <w:rPr>
          <w:rFonts w:hint="default" w:ascii="Times New Roman" w:hAnsi="Times New Roman" w:eastAsia="宋体" w:cs="Times New Roman"/>
          <w:b w:val="0"/>
          <w:bCs w:val="0"/>
          <w:kern w:val="0"/>
          <w:sz w:val="24"/>
          <w:szCs w:val="24"/>
          <w:highlight w:val="none"/>
          <w:lang w:val="en-US" w:eastAsia="zh-CN" w:bidi="zh-CN"/>
        </w:rPr>
        <w:t>534条小溪均源于三山，由两漕中段的分水岭地区，沿山脉走向，从中向南北分流出境，形成树枝状水系。其特点是流域不长，流量不稳，落差较大。</w:t>
      </w:r>
      <w:r>
        <w:rPr>
          <w:rFonts w:hint="default" w:ascii="Times New Roman" w:hAnsi="Times New Roman" w:cs="Times New Roman"/>
          <w:b w:val="0"/>
          <w:bCs w:val="0"/>
          <w:kern w:val="0"/>
          <w:sz w:val="24"/>
          <w:szCs w:val="24"/>
          <w:highlight w:val="none"/>
          <w:lang w:val="en-US" w:eastAsia="zh-CN" w:bidi="zh-CN"/>
        </w:rPr>
        <w:t>本项目南侧距渠江约500米，跨越渠江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cs="Times New Roman"/>
          <w:b w:val="0"/>
          <w:bCs w:val="0"/>
          <w:kern w:val="0"/>
          <w:sz w:val="24"/>
          <w:szCs w:val="24"/>
          <w:highlight w:val="none"/>
          <w:lang w:val="en-US" w:eastAsia="zh-CN" w:bidi="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eastAsia="zh-CN"/>
        </w:rPr>
        <w:t>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地下水的赋存与分布，主要受地质构造</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地貌</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岩性</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气候和古地貌条件的控制，根据赋存条件和水理特征，工作区主要为第四系松散堆积层中的孔隙潜水</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埋藏于基岩裂隙中的基岩裂隙水和碳酸盐岩类溶蚀裂隙水。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（1）第四系松散堆积层孔隙潜水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孔隙潜水主要贮存于第四系覆盖层中</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零星分布于沟谷</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谷坡及丘间盆地坡洪积</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残积层中的地下水，蓄水条件差，水量贫乏，受大气</w:t>
      </w:r>
      <w:r>
        <w:rPr>
          <w:rFonts w:hint="eastAsia" w:ascii="Times New Roman" w:hAnsi="Times New Roman" w:cs="Times New Roman"/>
          <w:sz w:val="24"/>
          <w:szCs w:val="24"/>
          <w:lang w:eastAsia="zh-CN"/>
        </w:rPr>
        <w:t>降水</w:t>
      </w:r>
      <w:r>
        <w:rPr>
          <w:rFonts w:hint="default" w:ascii="Times New Roman" w:hAnsi="Times New Roman" w:cs="Times New Roman"/>
          <w:sz w:val="24"/>
          <w:szCs w:val="24"/>
          <w:lang w:eastAsia="zh-CN"/>
        </w:rPr>
        <w:t>补给，一般以溢流方式就近排泄于沟谷较低处，水位年变幅1.0~2.0m，受季节性影响变化显著，水量贫乏</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分布在河床</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漫滩及阶地上的冲积层，含水层厚度大，与河水水力联系密切，补给条件好，透水性，富水性均好，水量丰富，水位年变幅2.0~3.0m，渗透系数一般30~80m/d。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（2）基岩裂隙水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广泛赋存于丘陵区砂岩浅层风化裂隙带中，一般存在于丘间谷地中，互相缺乏联系，水量不丰，且富水性极不均匀，其主要补给源为大气降水，以溢流方式排泄于沟谷边缘，个别块段以泉水的方式排泄，渗透系数k&lt;2m/d，涌水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Q&lt;10m²/d，而泥岩可视为相对隔水层。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（3）碳酸盐岩类溶蚀裂隙水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碳酸盐岩类溶蚀裂隙水主要赋存于侏罗系下统自流井组</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三叠系中下统雷口坡组（T</w:t>
      </w:r>
      <w:r>
        <w:rPr>
          <w:rFonts w:hint="default" w:ascii="Times New Roman" w:hAnsi="Times New Roman" w:cs="Times New Roman"/>
          <w:sz w:val="24"/>
          <w:szCs w:val="24"/>
          <w:vertAlign w:val="subscript"/>
          <w:lang w:eastAsia="zh-CN"/>
        </w:rPr>
        <w:t>2</w:t>
      </w:r>
      <w:r>
        <w:rPr>
          <w:rFonts w:hint="default" w:ascii="Times New Roman" w:hAnsi="Times New Roman" w:cs="Times New Roman"/>
          <w:sz w:val="24"/>
          <w:szCs w:val="24"/>
          <w:vertAlign w:val="subscript"/>
          <w:lang w:val="en-US" w:eastAsia="zh-CN"/>
        </w:rPr>
        <w:t>i</w:t>
      </w:r>
      <w:r>
        <w:rPr>
          <w:rFonts w:hint="default" w:ascii="Times New Roman" w:hAnsi="Times New Roman" w:cs="Times New Roman"/>
          <w:sz w:val="24"/>
          <w:szCs w:val="24"/>
          <w:lang w:eastAsia="zh-CN"/>
        </w:rPr>
        <w:t>）和嘉陵江组（T</w:t>
      </w:r>
      <w:r>
        <w:rPr>
          <w:rFonts w:hint="default" w:ascii="Times New Roman" w:hAnsi="Times New Roman" w:cs="Times New Roman"/>
          <w:sz w:val="24"/>
          <w:szCs w:val="24"/>
          <w:vertAlign w:val="subscript"/>
          <w:lang w:val="en-US" w:eastAsia="zh-CN"/>
        </w:rPr>
        <w:t>1j</w:t>
      </w:r>
      <w:r>
        <w:rPr>
          <w:rFonts w:hint="default" w:ascii="Times New Roman" w:hAnsi="Times New Roman" w:cs="Times New Roman"/>
          <w:sz w:val="24"/>
          <w:szCs w:val="24"/>
          <w:lang w:eastAsia="zh-CN"/>
        </w:rPr>
        <w:t>）灰岩中， 主要以大气降水补给为主，受岩溶和构造作用，浅部水文交替较强，深部水循环缓慢甚至停止，地下水变化快。由于碳酸盐岩的可溶性，地下水赋存条件好，加之褶皱构造发育强烈，地层岩体完整性股， 地下水量较为丰富，接受大</w:t>
      </w:r>
      <w:r>
        <w:rPr>
          <w:rFonts w:hint="eastAsia" w:ascii="Times New Roman" w:hAnsi="Times New Roman" w:cs="Times New Roman"/>
          <w:sz w:val="24"/>
          <w:szCs w:val="24"/>
          <w:lang w:val="en-US" w:eastAsia="zh-CN"/>
        </w:rPr>
        <w:t>气</w:t>
      </w:r>
      <w:r>
        <w:rPr>
          <w:rFonts w:hint="default" w:ascii="Times New Roman" w:hAnsi="Times New Roman" w:cs="Times New Roman"/>
          <w:sz w:val="24"/>
          <w:szCs w:val="24"/>
          <w:lang w:eastAsia="zh-CN"/>
        </w:rPr>
        <w:t>降水</w:t>
      </w:r>
      <w:r>
        <w:rPr>
          <w:rFonts w:hint="eastAsia" w:ascii="Times New Roman" w:hAnsi="Times New Roman" w:cs="Times New Roman"/>
          <w:sz w:val="24"/>
          <w:szCs w:val="24"/>
          <w:lang w:eastAsia="zh-CN"/>
        </w:rPr>
        <w:t>补给</w:t>
      </w:r>
      <w:r>
        <w:rPr>
          <w:rFonts w:hint="default" w:ascii="Times New Roman" w:hAnsi="Times New Roman" w:cs="Times New Roman"/>
          <w:sz w:val="24"/>
          <w:szCs w:val="24"/>
          <w:lang w:eastAsia="zh-CN"/>
        </w:rPr>
        <w:t>后，沿背斜裂随向深部来给，在山体坡脚多以上升泉的形式排泄，碳酸盐岩受到溶蚀作用影响，容易形成溶洞</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溶槽和溶孔等岩溶地貌，在自然或人为因素作用下，松散土石体覆盖在溶蚀洞穴发育的可溶性岩层之上，在向洞穴转移过程中导致地面变形破坏，发生岩溶地面塌陷。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eastAsia="zh-CN"/>
        </w:rPr>
        <w:t>气候特征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工程区气候属中亚热带湿润季风气候区，具有气候温和</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四季分明</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热量丰富</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雨量充沛</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雨热同季</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日照适度</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温暖湿润</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无霜期长</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立体差异明显</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水平差异不明显的特点。多年平均气温16.6℃，极端最高气温40.2℃（1972年），极端最低气温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eastAsia="zh-CN"/>
        </w:rPr>
        <w:t>4℃（1975年），气温垂直变化比较明显，如五峰山多年平均气温仅13.6℃，比县城低3℃。春季比较温暖，但多寒潮</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夏季比较炎热，多伏旱高温</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秋季温暖多绵雨；冬季寒冷多雾。多年平均降雨量为1184mm，垂直差异较明显，三山多于两漕，变化呈陡峻双峰型。三山每年降雪2-3次，积雪时间7天。隆冬时节，峰岭积雪，银装素裹，"西山积雪"为旧时所称竹城八景之一。多年平均</w:t>
      </w:r>
      <w:r>
        <w:rPr>
          <w:rFonts w:hint="eastAsia" w:ascii="Times New Roman" w:hAnsi="Times New Roman" w:cs="Times New Roman"/>
          <w:sz w:val="24"/>
          <w:szCs w:val="24"/>
          <w:lang w:eastAsia="zh-CN"/>
        </w:rPr>
        <w:t>日照时数</w:t>
      </w:r>
      <w:r>
        <w:rPr>
          <w:rFonts w:hint="default" w:ascii="Times New Roman" w:hAnsi="Times New Roman" w:cs="Times New Roman"/>
          <w:sz w:val="24"/>
          <w:szCs w:val="24"/>
          <w:lang w:eastAsia="zh-CN"/>
        </w:rPr>
        <w:t>1329.4小时，年总太阳辐射 90.2千卡/平方厘米，属低值区。多年平均无霜期284天，多年平均相对湿度84%。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4</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eastAsia="zh-CN"/>
        </w:rPr>
        <w:t>土壤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四川盆地黄壤</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紫色土地区包括整个盆地及边缘山地。工程所在区域属于四川盆地东部，这个地区的地貌特点是出现一组呈东北一西南走向的平行岭谷，由背斜构成的低山（海拔 500~1000m）呈条带状分布于宽广紫色丘陵谷地间。山上成土母岩是侏罗纪硬砂岩和三叠纪薄层灰岩，在这些岩石风化物上，在常绿阔叶林和针叶林下发育着自然黄壤。山的下部已开垦种植，熟化为黄泥田</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黄泥土。此外，在森林破坏的地方，覆盖于石灰岩上的黄壤土层冲刷殆尽，在新风化的石灰性母质上发育着黑色石灰土。分布于平行岭谷间的广阔丘陵地，为侏罗纪紫色砂页岩发育成的紫色土，经长期耕种熟化为紫泥土</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紫泥田。在丘陵上部，因冲刷强，主要是肥力低的紫色石骨子土，土层薄，不耐寒，多种植</w:t>
      </w:r>
      <w:r>
        <w:rPr>
          <w:rFonts w:hint="eastAsia" w:ascii="Times New Roman" w:hAnsi="Times New Roman" w:cs="Times New Roman"/>
          <w:sz w:val="24"/>
          <w:szCs w:val="24"/>
          <w:lang w:eastAsia="zh-CN"/>
        </w:rPr>
        <w:t>耐旱、</w:t>
      </w:r>
      <w:r>
        <w:rPr>
          <w:rFonts w:hint="default" w:ascii="Times New Roman" w:hAnsi="Times New Roman" w:cs="Times New Roman"/>
          <w:sz w:val="24"/>
          <w:szCs w:val="24"/>
          <w:lang w:eastAsia="zh-CN"/>
        </w:rPr>
        <w:t>耐瘠的甘薯</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豌豆等作物。在丘陵中下部，为肥力中上等紫泥田（紫色土型水稻土）和紫泥土。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项目区域植被概况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达州处亚热带气候，形成了以亚热带常绿阔叶</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针叶与落叶阔叶林为主的低山丘陵天然植被。低山区以柏木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桤木纯林或柏木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桤木混交林，马尾松青冈混交林为主；河坝</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四旁多栽植竹类及麻柳</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千丈</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榆树</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桉树</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泡桐</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洋槐等树种。丘陵一些土层瘦薄的土坡，由于次生森林植被遭受破坏后，疏林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残林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荒坡较多，难以恢复，多以马桑</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黄荆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蔷薇灌丛茅草取代原有的森林植被。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渠县属川中方山丘陵植被小区，植被类型以中亚热带常绿阔叶林为主。渠县主要植物群落有亚热带针叶林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竹林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次生灌木丛</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丘陵草丛以及栽培植被。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6</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项目区域动物资源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项目评价区有脊椎动物28目76 科115种。其中，鱼类4目11科49 种；两栖类2目7科 12 种；爬行类1目8科21种；鸟类14目34科21 种；兽类7目16科 12 种，评价范围内无国家保护野生动物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四川省重点保护动物。</w:t>
      </w:r>
    </w:p>
    <w:p>
      <w:pPr>
        <w:pStyle w:val="4"/>
        <w:bidi w:val="0"/>
        <w:rPr>
          <w:rFonts w:hint="default"/>
          <w:lang w:val="en-US" w:eastAsia="zh-CN"/>
        </w:rPr>
      </w:pPr>
      <w:bookmarkStart w:id="88" w:name="_Toc323"/>
      <w:r>
        <w:rPr>
          <w:rFonts w:hint="default"/>
          <w:lang w:val="en-US" w:eastAsia="zh-CN"/>
        </w:rPr>
        <w:t>3.2.生态环境现状调查与评价</w:t>
      </w:r>
      <w:bookmarkEnd w:id="88"/>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3.2.1.调查方法及评价内容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本项目区生态敏感性低，属一般区域，不涉及国家公园</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自然保护区</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风景名胜区</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森林公园</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地质公园</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水产种质资源保护区等生态敏感区，沿线生态保护红线分布。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评价区内耕地面积占比最大，达到71.92%，是区内最主要的土地类型，其次是林地，占比 22.03%。同时，评价区还具有基本农田比例较高</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居民住宅较密集的特点。根据《四川植被》分区划分来看，本工程全线位于川东平行岭谷植被小区IA</w:t>
      </w:r>
      <w:r>
        <w:rPr>
          <w:rFonts w:hint="default" w:ascii="Times New Roman" w:hAnsi="Times New Roman" w:cs="Times New Roman"/>
          <w:sz w:val="24"/>
          <w:szCs w:val="24"/>
          <w:vertAlign w:val="subscript"/>
          <w:lang w:eastAsia="zh-CN"/>
        </w:rPr>
        <w:t>3（2）</w:t>
      </w:r>
      <w:r>
        <w:rPr>
          <w:rFonts w:hint="default" w:ascii="Times New Roman" w:hAnsi="Times New Roman" w:cs="Times New Roman"/>
          <w:sz w:val="24"/>
          <w:szCs w:val="24"/>
          <w:lang w:eastAsia="zh-CN"/>
        </w:rPr>
        <w:t>，自然植被的突出特点是以针阔混交林</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竹林为主。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）植被调查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主要采用实地线路调查，以点线调查反馈全线。本工程评价范围内自然植被以针阔混交林</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竹林为主，植被种类主要有慈竹林群系</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马尾松林群系</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柏木林群系，以及以松</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柏</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杉</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枫</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槐等为主的针叶</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阔叶混交林群系</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人工林群系和人工栽培农作物群系等。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）动物调查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动物调查采用现场踏勘</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资料收集以及与当地居民交流等多种方法，对当地动物种类及分布情况进行了调查。在调查过程中， 确定评价范围内动物的种类</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资源状况及生存状况，尤其是国家重点保护种类，进行综合分析和判断。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）生物量的调查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通过咨询和收集已有资料。鉴于乔木</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农作物的生物量监测比较困难，本次评价将乔木生物量计算采用类比估算法，农作物产量折算生物量。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）沿线生态环境现状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为全面了解本工程沿线生态环境现状，充分收集工程区已有研究成果，解译范围为路线两侧各2km，解译面积约</w:t>
      </w:r>
      <w:r>
        <w:rPr>
          <w:rFonts w:hint="default" w:ascii="Times New Roman" w:hAnsi="Times New Roman" w:cs="Times New Roman"/>
          <w:sz w:val="24"/>
          <w:szCs w:val="24"/>
          <w:lang w:val="en-US" w:eastAsia="zh-CN"/>
        </w:rPr>
        <w:t>15.32</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；评价范围为线路两侧各 300m，评价面积约</w:t>
      </w:r>
      <w:r>
        <w:rPr>
          <w:rFonts w:hint="default" w:ascii="Times New Roman" w:hAnsi="Times New Roman" w:cs="Times New Roman"/>
          <w:sz w:val="24"/>
          <w:szCs w:val="24"/>
          <w:lang w:val="en-US" w:eastAsia="zh-CN"/>
        </w:rPr>
        <w:t>2.3</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eastAsia="zh-CN"/>
        </w:rPr>
        <w:t>评价内容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）评价范围内土壤分布类型</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土地利用状况</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农业生产水平及状况；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）评价范围内的野生动植物种类，以及野生动植物及其生境；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）评价范围内的植被状况及其覆盖率</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群落类型</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特征及其分布</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各植被类型生物量。</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3.2.2.工程沿线生态环境现状调查与评价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（1）主体功能区划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根据四川省人民政府《关于印发四川省主体功能区规划的通知》（川府发</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2013</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16号），本项目所在地渠县临巴镇，属川川东北地区，主体功能区划为省级层面重点开发区域，该区域的主体功能定位是：我国西部重要的能源化工基地，农产品深加工基地，红色旅游基地，川渝陕结合部的区域经济中心和交通物流中心，构建连接我国西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西南地区的新兴经济带。项目占地及影响范围不涉及川府发</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2013</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16号规定的禁止开发区域。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根据《全国生态功能区划》（环境保护部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中国科学院公告2015年第61号，2015年11月），本项目所在区县属全国生态功能区划中产品提供一级功能区，农产品提供二级功能区，川东丘陵林产品提供三级功能区（Ⅱ-02-05）。根据《四川省生态功能区划》（川府函〔2006〕100号，2006年5月31日），项目区属于I四川盆地亚热带农林生态区，Ⅰ 2盆中丘陵农林复合生态亚区，Ⅰ 2-2渠江流域城镇与农林生态功能区。</w:t>
      </w:r>
    </w:p>
    <w:p>
      <w:pPr>
        <w:numPr>
          <w:ilvl w:val="0"/>
          <w:numId w:val="3"/>
        </w:numPr>
        <w:autoSpaceDE w:val="0"/>
        <w:autoSpaceDN w:val="0"/>
        <w:adjustRightInd w:val="0"/>
        <w:snapToGrid/>
        <w:jc w:val="center"/>
        <w:outlineLvl w:val="9"/>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项目区生态功能分区特征表</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71"/>
        <w:gridCol w:w="820"/>
        <w:gridCol w:w="1251"/>
        <w:gridCol w:w="2296"/>
        <w:gridCol w:w="1748"/>
        <w:gridCol w:w="16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311"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生态功能区</w:t>
            </w:r>
          </w:p>
        </w:tc>
        <w:tc>
          <w:tcPr>
            <w:tcW w:w="720"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区域</w:t>
            </w:r>
          </w:p>
        </w:tc>
        <w:tc>
          <w:tcPr>
            <w:tcW w:w="1110"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典型生态系统</w:t>
            </w:r>
          </w:p>
        </w:tc>
        <w:tc>
          <w:tcPr>
            <w:tcW w:w="2055"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主要生态问题</w:t>
            </w:r>
          </w:p>
        </w:tc>
        <w:tc>
          <w:tcPr>
            <w:tcW w:w="1560"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生态环境敏感性</w:t>
            </w:r>
          </w:p>
        </w:tc>
        <w:tc>
          <w:tcPr>
            <w:tcW w:w="1477"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生态服务功能</w:t>
            </w:r>
            <w:r>
              <w:rPr>
                <w:rFonts w:hint="default" w:ascii="Times New Roman" w:hAnsi="Times New Roman" w:eastAsia="宋体" w:cs="Times New Roman"/>
                <w:b w:val="0"/>
                <w:bCs w:val="0"/>
                <w:sz w:val="21"/>
                <w:szCs w:val="21"/>
                <w:highlight w:val="none"/>
                <w:lang w:eastAsia="zh-CN"/>
              </w:rPr>
              <w:t>重要性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311"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Cs w:val="21"/>
                <w:highlight w:val="none"/>
              </w:rPr>
              <w:t>Ⅰ</w:t>
            </w:r>
            <w:r>
              <w:rPr>
                <w:rFonts w:hint="default" w:ascii="Times New Roman" w:hAnsi="Times New Roman" w:eastAsia="宋体" w:cs="Times New Roman"/>
                <w:b w:val="0"/>
                <w:bCs w:val="0"/>
                <w:szCs w:val="21"/>
                <w:highlight w:val="none"/>
                <w:lang w:val="en-US" w:eastAsia="zh-CN"/>
              </w:rPr>
              <w:t xml:space="preserve"> </w:t>
            </w:r>
            <w:r>
              <w:rPr>
                <w:rFonts w:hint="default" w:ascii="Times New Roman" w:hAnsi="Times New Roman" w:eastAsia="宋体" w:cs="Times New Roman"/>
                <w:b w:val="0"/>
                <w:bCs w:val="0"/>
                <w:szCs w:val="21"/>
                <w:highlight w:val="none"/>
              </w:rPr>
              <w:t>2-2渠江流域城镇与农林生态功能区</w:t>
            </w:r>
          </w:p>
        </w:tc>
        <w:tc>
          <w:tcPr>
            <w:tcW w:w="720"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渠县</w:t>
            </w:r>
          </w:p>
        </w:tc>
        <w:tc>
          <w:tcPr>
            <w:tcW w:w="1110"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Cs w:val="21"/>
                <w:highlight w:val="none"/>
              </w:rPr>
              <w:t>农田和水生态系统</w:t>
            </w:r>
          </w:p>
        </w:tc>
        <w:tc>
          <w:tcPr>
            <w:tcW w:w="2055"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Cs w:val="21"/>
                <w:highlight w:val="none"/>
              </w:rPr>
              <w:t>耕地垦殖过度，农村面源污染，森林覆盖率低，水土流失面广。</w:t>
            </w:r>
          </w:p>
        </w:tc>
        <w:tc>
          <w:tcPr>
            <w:tcW w:w="1560"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Cs w:val="21"/>
                <w:highlight w:val="none"/>
              </w:rPr>
              <w:t>土壤侵蚀中度敏感，水环境污染高度敏感，酸雨轻度敏感。</w:t>
            </w:r>
          </w:p>
        </w:tc>
        <w:tc>
          <w:tcPr>
            <w:tcW w:w="1477"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Cs w:val="21"/>
                <w:highlight w:val="none"/>
              </w:rPr>
              <w:t>城镇与农林业发展，水环境污染控制，洪水调蓄。</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沿线土壤类型及特性与评价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工程所在区域土壤与母质密切相关，主要为丘陵间的局部平原的潮土。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沿线土地利用类型分布现状与评价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建设单位提供资料及现场走访勘察：项目道路工程占地范围内土地利用现状主要有旱地53.9亩，林地32.86亩，农田78.924亩，荒地60.59亩，河道1.5亩，宅基地0.94亩，旧路占地16.9亩等，不占用基本农田，非生态敏感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植物资源现状调查与评价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bookmarkStart w:id="89" w:name="3.2.2.1植物多样性"/>
      <w:bookmarkEnd w:id="89"/>
      <w:bookmarkStart w:id="90" w:name="3.2.2.1植物多样性"/>
      <w:bookmarkEnd w:id="90"/>
      <w:r>
        <w:rPr>
          <w:rFonts w:hint="default" w:ascii="Times New Roman" w:hAnsi="Times New Roman" w:eastAsia="宋体" w:cs="Times New Roman"/>
          <w:sz w:val="24"/>
          <w:szCs w:val="24"/>
          <w:lang w:val="en-US" w:eastAsia="zh-CN"/>
        </w:rPr>
        <w:t>（1）植物多样性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1）物种多样性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根据野外调查结果和查阅资料，评价区共有维管植物628 种，隶属于145科419属</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含部分栽培物种</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，蕨类植物19科25属35种；种子植物 126 科 394属 593 种，其中包括裸子植物 8 科 16 属 20 种，被子植物 118 科 378 属 573 种（蕨类植物采用秦仁昌 1978，裸子植物采用郑万均 1961，被子植物采用恩格勒 1964）。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2）种子植物区系成分分析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评价区共有维管植物628种，隶属于145科419属。其中，所含种数在10种以下的科为131个，占总科数145的 90.34%，这 131 科含物种358种，占评价区维管植物物种总数</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628</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的57.01%；在评价区分布物种数在10种及以上的科有14个，只占总科数的9.66%，但这14个科所含种数有 270 种，占本评价区维管植物物种总数的42.99%，其中的4个较大科分别是：蔷薇科 Rosaceae（29 种）</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蝶形花科 Fabaceae（25 种）</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菊科 Compositae（40 种）</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禾本科 Gramineae（52 种）。这充分说明评价区少种科和单种科虽然在科的数量上占据优势，超过评价区总科数的 90%；在植物物种的数量上，少于10种的科与中等及其以上的科占据的比例均接近评价区总维管束植物物种数的一半，这与评价区地处“热带常绿阔叶林区域-东部（湿润）常绿阔叶林亚区域-中亚热带常绿阔叶林北部亚地带” 中西段的气候条件及人为活动强烈相关。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植物区系特征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植物区系的基本特征归纳如下：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区地处四川盆地中部浅丘陵地带，气候受盆地地形影响较大，虽然东西跨度和面积较大，但整体海拔跨度不大，生境差异性不强，植被垂直分布带谱上看极高点和极低点之间植被类型并无明显差异，评价线路起点和止点两极植被也不存在较大的差异。再加上沿线人工林</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柏木林广布</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场镇密集</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人为活动干扰大等综合原因，导致区内分布的维管束植物种类不甚丰富，且所隶属科与属的数量相对较多，单种属和少种属优势地位特别明显。种子植物区系性质从总体上表现为以温带分布类型为主，又带有较多的热带成分，这与评价区位于四川盆地中部浅丘地带的“亚热带常绿阔叶林区域- 东部（湿润）常绿阔叶林亚区域-中亚热带常绿阔叶林北部亚地带中西段”的地理位置特征相符合，即种子植物以温带为主，并有很大比例的热带成分。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评价区内无</w:t>
      </w:r>
      <w:r>
        <w:rPr>
          <w:rFonts w:hint="default" w:ascii="Times New Roman" w:hAnsi="Times New Roman" w:eastAsia="宋体" w:cs="Times New Roman"/>
          <w:sz w:val="24"/>
          <w:szCs w:val="24"/>
          <w:lang w:val="en-US" w:eastAsia="zh-CN"/>
        </w:rPr>
        <w:t>国家重点保护野生植物及古树名木</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4）项目沿线资源植物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评价区内的植物中已被利用的或已知有一定用途的资源植物约有418种。这些资源植物大多数都没有得到充分的利用。对于资源植物的分类并无统一的标准，通常按资源植物的用途将其分为药用类植物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油脂类植物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纤维类植物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淀粉类植物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单宁类植物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芳香油类植物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木材类植物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野生蔬果类植物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饲料及牧草类植物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染料</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农药</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茶叶和观赏植物等十五大类，但许多植物常常同时具有多种用途。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（2）植被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项目评价区地处四川盆地中部浅丘陵地带，气候受盆地地形影响较大。冬季受西伯利亚或蒙古寒潮侵袭的影响较弱，夏季南来的暖流越过贵州高原而下达盆地内，因此评价区气候总的特点是冬暖</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春早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夏热</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秋雨；冬多云雾，湿度高， 有利于亚热带偏湿性的常绿阔叶林发展。由于历史原因，拟建公路沿线植被长期以来受人类生产活动破坏严重，因此天然植被类型很少见，次生和人工植被类型相对较多，天然森林覆盖率较低。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1）植被概况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拟建公路影响评价区植被在《中国植被》的分区体系中，属于“亚热带常绿阔叶林区域-东部（湿润）常绿阔叶林亚区域-中亚热带常绿阔叶林北部亚地带中西段”。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评价区位于盆地中部，渠江是评价区内最大的河流，评价区地形为平原-中山山地-低矮丘陵。境内主要为常见的紫红色页岩组成的丘陵地形，评价区气温较高，增温早，降温迟，植物生长季节较长。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本植被小区地处较低海拔地带，植被垂直分布带谱上看极高点和极低点之间植被类型并无明显差异，评价线路起点和止点两极植被也不存在较大的差异。评价区内有柏木林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阔叶杂木林和竹林等，由于耕地及建筑物的分布更加密集而致森林覆盖率较低；耕地均为一年两熟的水田和旱地；经济林和果树种类较多，如柠檬</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巨桉</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葡萄</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核桃</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李</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枇杷</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樱桃</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桂花</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柑橘</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桂花</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樟</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楠木等。评价区多为红紫色页岩的山地和丘陵地区，分布着柏木林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柏木与阔叶树混交林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阔叶杂木林以及极少量的马尾松林，林内阔叶乔木还有栎</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桤木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南酸枣</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朴树和喜树等，河边除大片生长有慈竹林外还生长有枫杨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桤木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杨树等，林下灌木层不发达，草本层盖度也较低，多在 35%以下。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本区植被受人类活动影响较大，拟建公路两侧完全没有原生植被，目前次生植被以耕地</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经济林地</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柏木林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阔叶杂木林和慈竹林较为多见。栽培植被类型中水田以水稻和小麦</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油菜为主，旱地以玉米和小麦</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油菜为主，重点农作物包括水稻</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玉米</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小麦</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油菜</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番薯</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蚕豆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豌豆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菜豆等。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（3）项目沿线植物多样性及植被资源综合评价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评价区跨越地形不复杂，立地条件差异不明显，再加上人为干扰</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农耕活动等原因，区内维管束植物的科属种数量不甚丰富。评价区少种科和单种科虽然在科的数量上占据优势，但在植物物种的数量上，中等及其以上的科占据的比例接近评价区内总维管束植物物种数的一半，这与评价区地处“热带常绿阔叶林区域-东部（湿润）常绿阔叶林亚区域-中亚热带常绿阔叶林北部亚地带”中西段的气候条件及人为活动强烈相关。从属的数量来看，区内植物物种也以单种属和少种属的优势地位特别明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种子植物区系性质从总体上表现为以温带分布类型为主，又带有较多的热带成分，这与评价区位于四川盆地中部浅丘地带的“亚热带常绿阔叶林区域-东部（湿润）常绿阔叶林亚区域-中亚热带常绿阔叶林北部亚地带中西段”的地理位置特征相符合，即种子植物以温带为主，并有很大比例的热带成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本植被小区地处较低海拔地带，海拔跨度仅约 200m，但植被垂直分布带谱上看极高点和极低点之间植被类型并无明显差异，评价线路起点和止点两极植被也不存在较大的差异。评价区主要为少量竹林；耕地均为一年两熟的水田和旱地；经济林和果树种类较多，如柠檬</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葡萄</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核桃</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李</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枇杷</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樱桃</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桂花</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柑橘</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桂花等。评价区多为红紫色页岩的山地和丘陵地区，分布着柏木林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柏木与阔叶树混交林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阔叶杂木林以及极少量的马尾松林，河边除大片生长有慈竹林外还生长有枫杨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桤木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杨树等，林下灌木层不发达，草本层盖度也较低，多在 35%以下。本区植被受人类活动影响较大，拟建公路两侧完全没有原生阔叶林植被，目前次生植被以耕地</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经济林地</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柏木林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阔叶杂木林和较为多见。栽培植被类型中水田以水稻和小麦</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油菜为主，旱地以玉米和小麦</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油菜为主，重点农作物包括水稻</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玉米</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小麦</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油菜</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番薯</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蚕豆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豌豆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菜豆等。</w:t>
      </w:r>
    </w:p>
    <w:p>
      <w:pPr>
        <w:pStyle w:val="22"/>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5</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陆生动物现状调查与评价</w:t>
      </w:r>
    </w:p>
    <w:p>
      <w:pPr>
        <w:pStyle w:val="22"/>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bookmarkStart w:id="91" w:name="3.2.3.1陆生动物资源现状"/>
      <w:bookmarkEnd w:id="91"/>
      <w:bookmarkStart w:id="92" w:name="3.2.3.1陆生动物资源现状"/>
      <w:bookmarkEnd w:id="92"/>
      <w:r>
        <w:rPr>
          <w:rFonts w:hint="default" w:ascii="Times New Roman" w:hAnsi="Times New Roman" w:cs="Times New Roman"/>
          <w:b w:val="0"/>
          <w:bCs w:val="0"/>
          <w:sz w:val="24"/>
          <w:szCs w:val="24"/>
          <w:lang w:val="en-US" w:eastAsia="zh-CN" w:bidi="zh-CN"/>
        </w:rPr>
        <w:t>（1）</w:t>
      </w:r>
      <w:r>
        <w:rPr>
          <w:rFonts w:hint="default" w:ascii="Times New Roman" w:hAnsi="Times New Roman" w:eastAsia="宋体" w:cs="Times New Roman"/>
          <w:b w:val="0"/>
          <w:bCs w:val="0"/>
          <w:sz w:val="24"/>
          <w:szCs w:val="24"/>
          <w:lang w:val="en-US" w:eastAsia="zh-CN" w:bidi="zh-CN"/>
        </w:rPr>
        <w:t>陆生动物资源现状</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公路拟建项目线路经过区域的动物资源现状是在现场调查基础上，参考《四川鱼类志》</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《中国淡水鱼类的分布区划》</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《四川两栖类原色图鉴》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《四川爬行类原色图鉴》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《四川鸟类原色图鉴》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《四川兽类原色图鉴》著作以及区域内相关的期刊文献结合工程沿线自然环境条件分析得到的综合结论。经实地调查</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访问并结合相关历史资料，确认拟建项目评价区有脊椎动物28目76科296 种。其中，鱼类4目11科49种；两栖类2目7科15种；爬行类1目8科23种；鸟类14目34科 167种；兽类7目16科42种。</w:t>
      </w:r>
    </w:p>
    <w:p>
      <w:pPr>
        <w:pStyle w:val="22"/>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default" w:ascii="Times New Roman" w:hAnsi="Times New Roman" w:eastAsia="宋体" w:cs="Times New Roman"/>
          <w:b w:val="0"/>
          <w:bCs w:val="0"/>
          <w:sz w:val="24"/>
          <w:szCs w:val="24"/>
          <w:lang w:val="en-US" w:eastAsia="zh-CN" w:bidi="zh-CN"/>
        </w:rPr>
        <w:t>物种组成</w:t>
      </w:r>
    </w:p>
    <w:p>
      <w:pPr>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根据调查</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访问及查阅相关资料，评价区内有两栖动物1目4科6种。即无尾目蟾蜍科的中华蟾蜍（ Opsariichthys acutipinnis ）， 蛙科的黑斑侧褶蛙（Pelophylax nigromaculatus）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泽蛙（Boulengerana guentheri），叉舌蛙科的泽陆蛙（Fejervarya multistriata），姬蛙科的饰纹姬蛙（Microhyla butleri Boulenger）</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四川狭口蛙（Kaloula rugifera）。</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2）区系分析</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中华蟾蜍和黑斑侧褶蛙的地理</w:t>
      </w:r>
      <w:r>
        <w:rPr>
          <w:rFonts w:hint="eastAsia" w:ascii="Times New Roman" w:hAnsi="Times New Roman" w:cs="Times New Roman"/>
          <w:b w:val="0"/>
          <w:bCs w:val="0"/>
          <w:sz w:val="24"/>
          <w:szCs w:val="24"/>
          <w:lang w:val="en-US" w:eastAsia="zh-CN" w:bidi="zh-CN"/>
        </w:rPr>
        <w:t>成分是</w:t>
      </w:r>
      <w:r>
        <w:rPr>
          <w:rFonts w:hint="default" w:ascii="Times New Roman" w:hAnsi="Times New Roman" w:eastAsia="宋体" w:cs="Times New Roman"/>
          <w:b w:val="0"/>
          <w:bCs w:val="0"/>
          <w:sz w:val="24"/>
          <w:szCs w:val="24"/>
          <w:lang w:val="en-US" w:eastAsia="zh-CN" w:bidi="zh-CN"/>
        </w:rPr>
        <w:t>季风型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E</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，属古北界。沼蛙属南中国型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，泽陆蛙和饰纹姬蛙属东洋型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W</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，四川狭口蛙属喜马拉雅—横断山区型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H</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，它们均属东洋界。区域内东洋界的种类占 66.67%，古北界种类占比 33.33%。</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3）生态类型</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水体在两栖类生活史中占了最重要的地位，生境是以水体为中心的，其中幼体对水体的依赖程度又高于成体。公路沿线河流</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溪沟为两栖类的主要分布区。</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（2）爬行类概况</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1）物种组成</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根据调查</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访问及查阅相关资料，评价区内有爬行动物 1 目 5 科 8 种。即有鳞目壁虎科的蹼趾壁虎（</w:t>
      </w:r>
      <w:r>
        <w:rPr>
          <w:rFonts w:hint="eastAsia" w:ascii="Times New Roman" w:hAnsi="Times New Roman" w:cs="Times New Roman"/>
          <w:b w:val="0"/>
          <w:bCs w:val="0"/>
          <w:sz w:val="24"/>
          <w:szCs w:val="24"/>
          <w:lang w:val="en-US" w:eastAsia="zh-CN" w:bidi="zh-CN"/>
        </w:rPr>
        <w:t>dekko</w:t>
      </w:r>
      <w:r>
        <w:rPr>
          <w:rFonts w:hint="default" w:ascii="Times New Roman" w:hAnsi="Times New Roman" w:eastAsia="宋体" w:cs="Times New Roman"/>
          <w:b w:val="0"/>
          <w:bCs w:val="0"/>
          <w:sz w:val="24"/>
          <w:szCs w:val="24"/>
          <w:lang w:val="en-US" w:eastAsia="zh-CN" w:bidi="zh-CN"/>
        </w:rPr>
        <w:t xml:space="preserve">  subpalmatus），蜥蜴科的北草蜥（Takydromus septentrionalis），石龙子科的铜蜓蜥（Sphenomorphus indicus），蝰科的原矛头蝮（Protobothrops mucrosquamatus），游蛇科的赤链蛇（Lycodon rufozonatum）</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乌梢蛇（Ptyas dhumnades）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 xml:space="preserve">玉斑蛇（Euprepiophis </w:t>
      </w:r>
      <w:r>
        <w:rPr>
          <w:rFonts w:hint="eastAsia" w:ascii="Times New Roman" w:hAnsi="Times New Roman" w:cs="Times New Roman"/>
          <w:b w:val="0"/>
          <w:bCs w:val="0"/>
          <w:sz w:val="24"/>
          <w:szCs w:val="24"/>
          <w:lang w:val="en-US" w:eastAsia="zh-CN" w:bidi="zh-CN"/>
        </w:rPr>
        <w:t>mandarins</w:t>
      </w:r>
      <w:r>
        <w:rPr>
          <w:rFonts w:hint="default" w:ascii="Times New Roman" w:hAnsi="Times New Roman" w:eastAsia="宋体" w:cs="Times New Roman"/>
          <w:b w:val="0"/>
          <w:bCs w:val="0"/>
          <w:sz w:val="24"/>
          <w:szCs w:val="24"/>
          <w:lang w:val="en-US" w:eastAsia="zh-CN" w:bidi="zh-CN"/>
        </w:rPr>
        <w:t>）</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黑眉锦蛇（Elaphe taeniura）。</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2）区系分析</w:t>
      </w:r>
    </w:p>
    <w:p>
      <w:pPr>
        <w:pStyle w:val="22"/>
        <w:keepNext w:val="0"/>
        <w:keepLines w:val="0"/>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评价区的蹼趾壁虎</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原矛头蝮</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玉斑蛇的地理成份是南中国型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，铜蜓蜥</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乌梢蛇</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黑眉锦蛇是东洋型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W</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，它们均属东洋界。赤链蛇</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北草蜥的地理</w:t>
      </w:r>
      <w:r>
        <w:rPr>
          <w:rFonts w:hint="eastAsia" w:ascii="Times New Roman" w:hAnsi="Times New Roman" w:cs="Times New Roman"/>
          <w:b w:val="0"/>
          <w:bCs w:val="0"/>
          <w:sz w:val="24"/>
          <w:szCs w:val="24"/>
          <w:lang w:val="en-US" w:eastAsia="zh-CN" w:bidi="zh-CN"/>
        </w:rPr>
        <w:t>成分是</w:t>
      </w:r>
      <w:r>
        <w:rPr>
          <w:rFonts w:hint="default" w:ascii="Times New Roman" w:hAnsi="Times New Roman" w:eastAsia="宋体" w:cs="Times New Roman"/>
          <w:b w:val="0"/>
          <w:bCs w:val="0"/>
          <w:sz w:val="24"/>
          <w:szCs w:val="24"/>
          <w:lang w:val="en-US" w:eastAsia="zh-CN" w:bidi="zh-CN"/>
        </w:rPr>
        <w:t>季风型（E），属于古北界。区域内东洋界的种类占 75.0%，古北界的种类占 25.0%。</w:t>
      </w:r>
    </w:p>
    <w:p>
      <w:pPr>
        <w:pStyle w:val="22"/>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w:t>
      </w:r>
      <w:r>
        <w:rPr>
          <w:rFonts w:hint="default" w:ascii="Times New Roman" w:hAnsi="Times New Roman" w:eastAsia="宋体" w:cs="Times New Roman"/>
          <w:b w:val="0"/>
          <w:bCs w:val="0"/>
          <w:sz w:val="24"/>
          <w:szCs w:val="24"/>
          <w:lang w:val="en-US" w:eastAsia="zh-CN" w:bidi="zh-CN"/>
        </w:rPr>
        <w:t>生态类型</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根据《四川爬行类原色图鉴》记述，爬行类的生态类型有陆栖类型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树栖类型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半水栖类型和水栖类型 4 种。评价区的爬行类主要为陆栖和树栖两种类型， 评价区内的爬行类物种分布情况与生态类型相符，由于评价区大部分区域人为干扰较强，因此调查发现的个体比较少，爬行类的易见程度普遍偏低。</w:t>
      </w:r>
    </w:p>
    <w:p>
      <w:pPr>
        <w:pStyle w:val="22"/>
        <w:pageBreakBefore w:val="0"/>
        <w:widowControl w:val="0"/>
        <w:numPr>
          <w:ilvl w:val="0"/>
          <w:numId w:val="0"/>
        </w:numPr>
        <w:tabs>
          <w:tab w:val="left" w:pos="152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w:t>
      </w:r>
      <w:r>
        <w:rPr>
          <w:rFonts w:hint="default" w:ascii="Times New Roman" w:hAnsi="Times New Roman" w:eastAsia="宋体" w:cs="Times New Roman"/>
          <w:b w:val="0"/>
          <w:bCs w:val="0"/>
          <w:sz w:val="24"/>
          <w:szCs w:val="24"/>
          <w:lang w:val="en-US" w:eastAsia="zh-CN" w:bidi="zh-CN"/>
        </w:rPr>
        <w:t>鸟类概况</w:t>
      </w:r>
    </w:p>
    <w:p>
      <w:pPr>
        <w:pStyle w:val="22"/>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default" w:ascii="Times New Roman" w:hAnsi="Times New Roman" w:eastAsia="宋体" w:cs="Times New Roman"/>
          <w:b w:val="0"/>
          <w:bCs w:val="0"/>
          <w:sz w:val="24"/>
          <w:szCs w:val="24"/>
          <w:lang w:val="en-US" w:eastAsia="zh-CN" w:bidi="zh-CN"/>
        </w:rPr>
        <w:t>物种组成</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根据调查及历史资料，评价区内有鸟类共计17 目41科90种。其中，雀形目鸟类有51种，约占该区鸟类总种数的56.67%，非雀形目鸟类39种，约占该区鸟类总种数的 43.33%。可见公路沿线以雀形目鸟类占优。从居留型来看，留鸟45种，占总种数的50.00%；夏候鸟19种，占总种数的21.11%；冬候鸟17种，占总种数的18.89%；旅鸟9种，占总种数的10.00%。可见留鸟在该区域占优势。</w:t>
      </w:r>
    </w:p>
    <w:p>
      <w:pPr>
        <w:pStyle w:val="22"/>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w:t>
      </w:r>
      <w:r>
        <w:rPr>
          <w:rFonts w:hint="default" w:ascii="Times New Roman" w:hAnsi="Times New Roman" w:eastAsia="宋体" w:cs="Times New Roman"/>
          <w:b w:val="0"/>
          <w:bCs w:val="0"/>
          <w:sz w:val="24"/>
          <w:szCs w:val="24"/>
          <w:lang w:val="en-US" w:eastAsia="zh-CN" w:bidi="zh-CN"/>
        </w:rPr>
        <w:t>区系分析</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根据张荣祖的《中国动物地理区划》，评价区分布的90种鸟类中，东洋界种类41种，古北界种类32种，广泛分布于古北界和东洋界或者说分布区不易界定的种类17种，分别占评价区鸟类总种数的45.56%，35.56%和18.89%。</w:t>
      </w:r>
    </w:p>
    <w:p>
      <w:pPr>
        <w:pStyle w:val="22"/>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w:t>
      </w:r>
      <w:r>
        <w:rPr>
          <w:rFonts w:hint="default" w:ascii="Times New Roman" w:hAnsi="Times New Roman" w:eastAsia="宋体" w:cs="Times New Roman"/>
          <w:b w:val="0"/>
          <w:bCs w:val="0"/>
          <w:sz w:val="24"/>
          <w:szCs w:val="24"/>
          <w:lang w:val="en-US" w:eastAsia="zh-CN" w:bidi="zh-CN"/>
        </w:rPr>
        <w:t>生态类群和栖息地类型</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按照生态类群来分，评价区有游禽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涉禽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陆禽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猛禽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攀禽及鸣禽6种生态类群。其中，游禽包含雁形目，涉禽包含鸻形目</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鹈形目</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鲣鸟目和鸊鷉目， 陆禽包含鸡形目和鸽形目，猛禽包含隼形目</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鹰形目和鸮形目，攀禽包含鹃形目</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啄木鸟目</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佛法僧目，鸣禽包含雀形目。根据评价区内生境特点及鸟类的生活习性，评价区内的鸟类栖息地类型可以划分为以下几种：</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水域环境：是栖息于区域内溪流及周边生境中的鸟类。常见的有白鹭</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池鹭</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牛背鹭</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苍鹭</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绿头鸭</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红嘴鸥</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白骨顶</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普通翠鸟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小䴙䴘</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白鹡鸰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红尾水鸲等。</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灌草丛环境：是栖息于区域内灌丛</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草丛生境中的鸟类。常见的有环颈雉</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大杜鹃</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树鹨</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白颊噪鹛</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棕颈钩嘴鹛</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棕头鸦雀</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黑卷尾</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强脚树莺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黄腰柳莺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棕脸鹟莺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红头长尾山雀等。</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农田环境：评价区农田分布占比很高，为区域基质景观。常见的有珠颈斑鸠</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戴胜</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黑卷尾</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棕背伯劳</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红嘴蓝鹊</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家燕</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金腰燕</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白头鹎</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黄臀鹎</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金翅</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白鹡鸰等。</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城市园林及建筑环境：该区域以适应伴人居环境的鸟类为主，多为雀形目。常见的有树麻雀</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家燕</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白头鹎</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白颊噪鹛</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乌鸫</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鹊鸲</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白鹡鸰等。</w:t>
      </w:r>
    </w:p>
    <w:p>
      <w:pPr>
        <w:pStyle w:val="22"/>
        <w:pageBreakBefore w:val="0"/>
        <w:widowControl w:val="0"/>
        <w:numPr>
          <w:ilvl w:val="0"/>
          <w:numId w:val="0"/>
        </w:numPr>
        <w:tabs>
          <w:tab w:val="left" w:pos="152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bookmarkStart w:id="93" w:name="（4）兽类概况"/>
      <w:bookmarkEnd w:id="93"/>
      <w:bookmarkStart w:id="94" w:name="（4）兽类概况"/>
      <w:bookmarkEnd w:id="94"/>
      <w:r>
        <w:rPr>
          <w:rFonts w:hint="default" w:ascii="Times New Roman" w:hAnsi="Times New Roman" w:cs="Times New Roman"/>
          <w:b w:val="0"/>
          <w:bCs w:val="0"/>
          <w:sz w:val="24"/>
          <w:szCs w:val="24"/>
          <w:lang w:val="en-US" w:eastAsia="zh-CN" w:bidi="zh-CN"/>
        </w:rPr>
        <w:t>（4）</w:t>
      </w:r>
      <w:r>
        <w:rPr>
          <w:rFonts w:hint="default" w:ascii="Times New Roman" w:hAnsi="Times New Roman" w:eastAsia="宋体" w:cs="Times New Roman"/>
          <w:b w:val="0"/>
          <w:bCs w:val="0"/>
          <w:sz w:val="24"/>
          <w:szCs w:val="24"/>
          <w:lang w:val="en-US" w:eastAsia="zh-CN" w:bidi="zh-CN"/>
        </w:rPr>
        <w:t>兽类概况</w:t>
      </w:r>
    </w:p>
    <w:p>
      <w:pPr>
        <w:pStyle w:val="22"/>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default" w:ascii="Times New Roman" w:hAnsi="Times New Roman" w:eastAsia="宋体" w:cs="Times New Roman"/>
          <w:b w:val="0"/>
          <w:bCs w:val="0"/>
          <w:sz w:val="24"/>
          <w:szCs w:val="24"/>
          <w:lang w:val="en-US" w:eastAsia="zh-CN" w:bidi="zh-CN"/>
        </w:rPr>
        <w:t>物种组成</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根据调查</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访问及查阅相关资料，评价区内有兽类共5目7科21种。其中啮齿目种类最多，共2 科10种，其次是劳亚食虫目2科5种，翼手目1科3种，食肉目1科2种，兔形目1科1种。由此可见，评价区兽类以啮齿目的种数最多，占兽类总种数的47.62%，其次是劳亚食虫目，占兽类总数的 23.81%，其余各目所含种类相对较少</w:t>
      </w:r>
      <w:r>
        <w:rPr>
          <w:rFonts w:hint="default" w:ascii="Times New Roman" w:hAnsi="Times New Roman" w:cs="Times New Roman"/>
          <w:b w:val="0"/>
          <w:bCs w:val="0"/>
          <w:sz w:val="24"/>
          <w:szCs w:val="24"/>
          <w:lang w:val="en-US" w:eastAsia="zh-CN" w:bidi="zh-CN"/>
        </w:rPr>
        <w:t>。</w:t>
      </w:r>
    </w:p>
    <w:p>
      <w:pPr>
        <w:pStyle w:val="22"/>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default" w:ascii="Times New Roman" w:hAnsi="Times New Roman" w:eastAsia="宋体" w:cs="Times New Roman"/>
          <w:b w:val="0"/>
          <w:bCs w:val="0"/>
          <w:sz w:val="24"/>
          <w:szCs w:val="24"/>
          <w:lang w:val="en-US" w:eastAsia="zh-CN" w:bidi="zh-CN"/>
        </w:rPr>
        <w:t>区系</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评价区中分布的21种兽类中属东洋界的有14种，占评价区兽类总种数的66.67%；属古北界的有5种，占评价区兽类总种数的 23.81%；属广布种的有2种，占评价区兽类总种数的 9.52%。按张荣祖（1999）对兽类分布型的划分，评价区内兽类有5种分布型，其中南中国型最多，其次为古北型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东洋型。</w:t>
      </w:r>
    </w:p>
    <w:p>
      <w:pPr>
        <w:pStyle w:val="22"/>
        <w:pageBreakBefore w:val="0"/>
        <w:widowControl w:val="0"/>
        <w:numPr>
          <w:ilvl w:val="0"/>
          <w:numId w:val="0"/>
        </w:numPr>
        <w:tabs>
          <w:tab w:val="left" w:pos="1762"/>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w:t>
      </w:r>
      <w:r>
        <w:rPr>
          <w:rFonts w:hint="default" w:ascii="Times New Roman" w:hAnsi="Times New Roman" w:eastAsia="宋体" w:cs="Times New Roman"/>
          <w:b w:val="0"/>
          <w:bCs w:val="0"/>
          <w:sz w:val="24"/>
          <w:szCs w:val="24"/>
          <w:lang w:val="en-US" w:eastAsia="zh-CN" w:bidi="zh-CN"/>
        </w:rPr>
        <w:t>生态类型</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根据评价区生境特点及兽类的生活习性，评价区兽类可以划分为以下生态类型：林灌类型：生活在评价区内森林</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灌丛等生境中的兽类。如黄鼬（Mustela sibirica）</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鼬獾（Melogale moschata）</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草兔</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黑腹绒鼠（Eothenomys melanogaster）</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社鼠（Niviventer confucianus）等。村落及农耕区类型：评价区村落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居民点</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农耕区生境中活动栖息的兽类， 如褐家鼠（Rattus norvegicus）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小家鼠（Mus musculus）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黄胸鼠（Rattus  tanezumi）</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巢鼠（</w:t>
      </w:r>
      <w:r>
        <w:rPr>
          <w:rFonts w:hint="eastAsia" w:ascii="Times New Roman" w:hAnsi="Times New Roman" w:cs="Times New Roman"/>
          <w:b w:val="0"/>
          <w:bCs w:val="0"/>
          <w:sz w:val="24"/>
          <w:szCs w:val="24"/>
          <w:lang w:val="en-US" w:eastAsia="zh-CN" w:bidi="zh-CN"/>
        </w:rPr>
        <w:t>micromus</w:t>
      </w:r>
      <w:r>
        <w:rPr>
          <w:rFonts w:hint="default" w:ascii="Times New Roman" w:hAnsi="Times New Roman" w:eastAsia="宋体" w:cs="Times New Roman"/>
          <w:b w:val="0"/>
          <w:bCs w:val="0"/>
          <w:sz w:val="24"/>
          <w:szCs w:val="24"/>
          <w:lang w:val="en-US" w:eastAsia="zh-CN" w:bidi="zh-CN"/>
        </w:rPr>
        <w:t xml:space="preserve">  minutus）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 xml:space="preserve">小泡巨鼠（Leopoldamys </w:t>
      </w:r>
      <w:r>
        <w:rPr>
          <w:rFonts w:hint="eastAsia" w:ascii="Times New Roman" w:hAnsi="Times New Roman" w:cs="Times New Roman"/>
          <w:b w:val="0"/>
          <w:bCs w:val="0"/>
          <w:sz w:val="24"/>
          <w:szCs w:val="24"/>
          <w:lang w:val="en-US" w:eastAsia="zh-CN" w:bidi="zh-CN"/>
        </w:rPr>
        <w:t>edwards</w:t>
      </w:r>
      <w:r>
        <w:rPr>
          <w:rFonts w:hint="default" w:ascii="Times New Roman" w:hAnsi="Times New Roman" w:eastAsia="宋体" w:cs="Times New Roman"/>
          <w:b w:val="0"/>
          <w:bCs w:val="0"/>
          <w:sz w:val="24"/>
          <w:szCs w:val="24"/>
          <w:lang w:val="en-US" w:eastAsia="zh-CN" w:bidi="zh-CN"/>
        </w:rPr>
        <w:t>）</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长吻鼹（Eurocaptor longirostris）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宽齿鼹（Eurocaptor grandis）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灰麝鼩（Crocidura attenuata）等。穴居类型：在岩洞</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石缝</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 xml:space="preserve">墙缝中栖息的中小型兽类，如中华山蝠（Nyctalus </w:t>
      </w:r>
      <w:r>
        <w:rPr>
          <w:rFonts w:hint="eastAsia" w:ascii="Times New Roman" w:hAnsi="Times New Roman" w:cs="Times New Roman"/>
          <w:b w:val="0"/>
          <w:bCs w:val="0"/>
          <w:sz w:val="24"/>
          <w:szCs w:val="24"/>
          <w:lang w:val="en-US" w:eastAsia="zh-CN" w:bidi="zh-CN"/>
        </w:rPr>
        <w:t>planci</w:t>
      </w:r>
      <w:r>
        <w:rPr>
          <w:rFonts w:hint="default" w:ascii="Times New Roman" w:hAnsi="Times New Roman" w:eastAsia="宋体" w:cs="Times New Roman"/>
          <w:b w:val="0"/>
          <w:bCs w:val="0"/>
          <w:sz w:val="24"/>
          <w:szCs w:val="24"/>
          <w:lang w:val="en-US" w:eastAsia="zh-CN" w:bidi="zh-CN"/>
        </w:rPr>
        <w:t>）</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斑蝠（Scotomanes ornatus）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普通伏翼（Pipistrellus pipistrellus）等。河流</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溪沟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 xml:space="preserve">湖泊等水域类型：栖息的兽类包括喜马拉雅水麝鼩（Chimarrogale </w:t>
      </w:r>
      <w:r>
        <w:rPr>
          <w:rFonts w:hint="eastAsia" w:ascii="Times New Roman" w:hAnsi="Times New Roman" w:cs="Times New Roman"/>
          <w:b w:val="0"/>
          <w:bCs w:val="0"/>
          <w:sz w:val="24"/>
          <w:szCs w:val="24"/>
          <w:lang w:val="en-US" w:eastAsia="zh-CN" w:bidi="zh-CN"/>
        </w:rPr>
        <w:t>himalaica</w:t>
      </w:r>
      <w:r>
        <w:rPr>
          <w:rFonts w:hint="default" w:ascii="Times New Roman" w:hAnsi="Times New Roman" w:eastAsia="宋体" w:cs="Times New Roman"/>
          <w:b w:val="0"/>
          <w:bCs w:val="0"/>
          <w:sz w:val="24"/>
          <w:szCs w:val="24"/>
          <w:lang w:val="en-US" w:eastAsia="zh-CN" w:bidi="zh-CN"/>
        </w:rPr>
        <w:t>）等，种类较少。</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b w:val="0"/>
          <w:bCs w:val="0"/>
          <w:sz w:val="24"/>
          <w:szCs w:val="24"/>
          <w:lang w:val="en-US" w:eastAsia="zh-CN" w:bidi="zh-CN"/>
        </w:rPr>
      </w:pPr>
      <w:bookmarkStart w:id="95" w:name="（5）评价区内重点保护野生动物"/>
      <w:bookmarkEnd w:id="95"/>
      <w:bookmarkStart w:id="96" w:name="（5）评价区内重点保护野生动物"/>
      <w:bookmarkEnd w:id="96"/>
      <w:r>
        <w:rPr>
          <w:rFonts w:hint="default" w:ascii="Times New Roman" w:hAnsi="Times New Roman" w:eastAsia="宋体" w:cs="Times New Roman"/>
          <w:b w:val="0"/>
          <w:bCs w:val="0"/>
          <w:sz w:val="24"/>
          <w:szCs w:val="24"/>
          <w:lang w:val="en-US" w:eastAsia="zh-CN" w:bidi="zh-CN"/>
        </w:rPr>
        <w:t>评价区内无重点保护野生动物</w:t>
      </w:r>
    </w:p>
    <w:p>
      <w:pPr>
        <w:pStyle w:val="22"/>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w:t>
      </w:r>
      <w:r>
        <w:rPr>
          <w:rFonts w:hint="default" w:ascii="Times New Roman" w:hAnsi="Times New Roman" w:eastAsia="宋体" w:cs="Times New Roman"/>
          <w:b w:val="0"/>
          <w:bCs w:val="0"/>
          <w:sz w:val="24"/>
          <w:szCs w:val="24"/>
          <w:lang w:val="en-US" w:eastAsia="zh-CN" w:bidi="zh-CN"/>
        </w:rPr>
        <w:t>陆生动物资源现状多样性总体性评价</w:t>
      </w:r>
    </w:p>
    <w:p>
      <w:pPr>
        <w:pStyle w:val="2"/>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线路经过的区域为</w:t>
      </w:r>
      <w:r>
        <w:rPr>
          <w:rFonts w:hint="default" w:ascii="Times New Roman" w:hAnsi="Times New Roman" w:cs="Times New Roman"/>
          <w:b w:val="0"/>
          <w:bCs w:val="0"/>
          <w:sz w:val="24"/>
          <w:szCs w:val="24"/>
          <w:lang w:val="en-US" w:eastAsia="zh-CN" w:bidi="zh-CN"/>
        </w:rPr>
        <w:t>丘陵</w:t>
      </w:r>
      <w:r>
        <w:rPr>
          <w:rFonts w:hint="default" w:ascii="Times New Roman" w:hAnsi="Times New Roman" w:eastAsia="宋体" w:cs="Times New Roman"/>
          <w:b w:val="0"/>
          <w:bCs w:val="0"/>
          <w:sz w:val="24"/>
          <w:szCs w:val="24"/>
          <w:lang w:val="en-US" w:eastAsia="zh-CN" w:bidi="zh-CN"/>
        </w:rPr>
        <w:t>区，评价范围内原生植被受人为干扰较为严重，天然植被存在量相对较少。</w:t>
      </w:r>
      <w:r>
        <w:rPr>
          <w:rFonts w:hint="default" w:ascii="Times New Roman" w:hAnsi="Times New Roman" w:cs="Times New Roman"/>
          <w:b w:val="0"/>
          <w:bCs w:val="0"/>
          <w:sz w:val="24"/>
          <w:szCs w:val="24"/>
          <w:lang w:val="en-US" w:eastAsia="zh-CN" w:bidi="zh-CN"/>
        </w:rPr>
        <w:t>主要为常见物种</w:t>
      </w:r>
      <w:r>
        <w:rPr>
          <w:rFonts w:hint="default" w:ascii="Times New Roman" w:hAnsi="Times New Roman" w:eastAsia="宋体" w:cs="Times New Roman"/>
          <w:b w:val="0"/>
          <w:bCs w:val="0"/>
          <w:sz w:val="24"/>
          <w:szCs w:val="24"/>
          <w:lang w:val="en-US" w:eastAsia="zh-CN" w:bidi="zh-CN"/>
        </w:rPr>
        <w:t>。评价区内</w:t>
      </w:r>
      <w:r>
        <w:rPr>
          <w:rFonts w:hint="default" w:ascii="Times New Roman" w:hAnsi="Times New Roman" w:cs="Times New Roman"/>
          <w:b w:val="0"/>
          <w:bCs w:val="0"/>
          <w:sz w:val="24"/>
          <w:szCs w:val="24"/>
          <w:lang w:val="en-US" w:eastAsia="zh-CN" w:bidi="zh-CN"/>
        </w:rPr>
        <w:t>无</w:t>
      </w:r>
      <w:r>
        <w:rPr>
          <w:rFonts w:hint="default" w:ascii="Times New Roman" w:hAnsi="Times New Roman" w:eastAsia="宋体" w:cs="Times New Roman"/>
          <w:b w:val="0"/>
          <w:bCs w:val="0"/>
          <w:sz w:val="24"/>
          <w:szCs w:val="24"/>
          <w:lang w:val="en-US" w:eastAsia="zh-CN" w:bidi="zh-CN"/>
        </w:rPr>
        <w:t>国家重点保护物种，</w:t>
      </w:r>
      <w:r>
        <w:rPr>
          <w:rFonts w:hint="default" w:ascii="Times New Roman" w:hAnsi="Times New Roman" w:cs="Times New Roman"/>
          <w:b w:val="0"/>
          <w:bCs w:val="0"/>
          <w:sz w:val="24"/>
          <w:szCs w:val="24"/>
          <w:lang w:val="en-US" w:eastAsia="zh-CN" w:bidi="zh-CN"/>
        </w:rPr>
        <w:t>及</w:t>
      </w:r>
      <w:r>
        <w:rPr>
          <w:rFonts w:hint="default" w:ascii="Times New Roman" w:hAnsi="Times New Roman" w:eastAsia="宋体" w:cs="Times New Roman"/>
          <w:b w:val="0"/>
          <w:bCs w:val="0"/>
          <w:sz w:val="24"/>
          <w:szCs w:val="24"/>
          <w:lang w:val="en-US" w:eastAsia="zh-CN" w:bidi="zh-CN"/>
        </w:rPr>
        <w:t>省级保护物种。</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（5）鱼类资源现状调查与评价</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1）物种组成</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评价区涉及渠江及渠江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cs="Times New Roman"/>
          <w:b w:val="0"/>
          <w:bCs w:val="0"/>
          <w:sz w:val="24"/>
          <w:szCs w:val="24"/>
          <w:lang w:val="en-US" w:eastAsia="zh-CN" w:bidi="zh-CN"/>
        </w:rPr>
        <w:t>，鱼类资源相对较为丰富。经实地调查</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访问和查阅相关文献资料，评价区域河段中的鱼类有4目11科49种，其中鲤形目29种，占评价区域江河段中鱼类总数的 76.32%；鲇形目10种，占评价区鱼类总数的 20.41%；鲈形目2种，占评价区鱼类总数的4.08%； 鳉形目和合鳃鱼目皆为1种，分别占评价区鱼类总数的 2.04%。评价区内没有国家级和四川省省级重点保护鱼类。</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2）区系分析</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评价区的鱼类区系复合体共5种，其中以中国平原区系复合体为主，其次为晚第三纪早期区系复合体和南方平原区系复合体。</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3）鱼类生态类群</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评价区域河流分布的49种鱼类因鱼种和饵料的不同，所选择的栖息水层就形成了变化，因而形成了不同的生态小类群，是鱼类适应环境，以满足自身长期生存需要的一种自然选择。区域的鱼类可以分为以下几种生活类型：</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洞缝隙类群：这一类群白天主要隐蔽和活动于流水洞缝隙中，夜间则到水底砾石</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卵石的表面和缝隙间觅食。若受到惊扰则进入洞缝穴中躲藏。它们适应这种环境和生活习性的主要形态特征是：身体较细长而呈指状，体表无鳞，口须3~5 对，侧线发达，胸</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腹</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臀</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背</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尾鳍发达或比较发达，这些都是适应流水洞缝隙环境和砾石或卵石觅食低等动物为食的钻行生活习性。区域内的一些鳅科</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合鳃鱼科鱼类为本类群的代表，如黄鳝（Monopterus albus）。</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静水</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缓水底栖类群：喜欢生活在地势平坦</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水流缓慢的环境中，鱼类的特</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殊适应特点是身体侧扁，头尾均尖，略呈纺锤形，胸</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腹</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臀</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尾鳍都很发达。如麦穗鱼（Pseudorasbora parva）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泥鳅（Misgurnus anguilicaudatus）</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鲇（Silurus asotus）</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大口鲇（Silurus meriaionelis）</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瓦氏黄颡鱼（Pelteobagrus vachelli）等。</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激流生活类群：生活于水流湍急河川中，栖居的鱼类多在口部或胸部具有吸盘，以能在急流中生存。如平鳍鳅科</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鮡科种类，如犁头鳅 （Lepturichthys fimbriata）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福建纹胸鮡（Glyptothorax fukianensis）等。</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水体中下层类群：它们身体比较修长而侧扁，被细鳞或无鳞，口横裂或呈弧形或呈马蹄形，有触须 2~3 对或无须，适应于流水水底穿行和觅食，躯干部尾部修长，鳞片退化，尾柄长，各鳍发达或较发达，都是适应水底底层游泳和活动， 如马口鱼（ Opsaruchthus  bidens ）</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 xml:space="preserve"> 草鱼（ Myopharyngolon piceus ）</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 xml:space="preserve"> 鲢（ Hypophthalmichthys  nobitis ）</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 xml:space="preserve"> 鳙（ Aristichthys  nobilis ）</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 xml:space="preserve"> 子陵吻鰕虎鱼（Ctenogobius giurinus）等。</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广生境鱼类：该类型的鱼类适应性非常强，不论是深水或浅水</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流水或静水</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高温水或低温水均能生存，如鲤科的鲤（Cyprinus carpio）</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鲫（Carassius auratus）等。</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4）鱼类“三场”</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运动是鱼类生命活动的基本特征之一，鱼类的活动都是反射性运动，这些运动随外界条件的变化而变化。在鱼的生命周期中，鱼类的活动场所是变化的，这种变化与生殖</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季节</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摄食有着密切的关系。当鱼类要摄食时，他们就会有规律地向饵料丰富的场所运动；当鱼类要繁殖时，又需要向具备繁殖条件的场所运动； 当气温降低时，鱼类为了躲避寒冷的威胁又要向深水区或避寒冷的场所运动。</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索饵场：主要位于江河汇口处和水流较缓的湾</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沱等浅水区。越冬场：主要在渠江干流深水区。</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产卵场：渠江及其支流水流较缓区域为产漂流性卵的草鱼</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鲢鱼等鱼类以及产粘性卵的鲤</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鲫等鱼类的产卵场。</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根据实地调查，评价区未发现有鱼类“三场”分布。</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6</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小结</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（1）本工程全线位于四川盆地亚热带湿润气候生态区（I）的盆东平行岭谷农林复合生态亚区（I-4）。</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（2）工程所在区域土壤与母质密切相关，属于丘陵间的局部平原的潮土。</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（3）本工程沿线土地类型分为耕地</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林地（包括乔木林地和灌木林地）</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水域及水利设施用地（河流水面）</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交通运输用地</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住宅用地</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其他土地等6种类型。</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（4）本工程位于川东平行岭谷植被小区，自然植被由刺果米赭林</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马尾松林</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柏木林</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竹林为主。</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（5）本工程评价区域主要植被群系为慈竹林群系</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马尾松林群系</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柏木林群系</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针叶-活叶交林群系</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人工林群系和人工栽培农作物群样系答。线</w:t>
      </w:r>
      <w:r>
        <w:rPr>
          <w:rFonts w:hint="eastAsia" w:ascii="Times New Roman" w:hAnsi="Times New Roman" w:cs="Times New Roman"/>
          <w:b w:val="0"/>
          <w:bCs w:val="0"/>
          <w:sz w:val="24"/>
          <w:szCs w:val="24"/>
          <w:lang w:val="en-US" w:eastAsia="zh-CN" w:bidi="zh-CN"/>
        </w:rPr>
        <w:t>自然</w:t>
      </w:r>
      <w:r>
        <w:rPr>
          <w:rFonts w:hint="default" w:ascii="Times New Roman" w:hAnsi="Times New Roman" w:cs="Times New Roman"/>
          <w:b w:val="0"/>
          <w:bCs w:val="0"/>
          <w:sz w:val="24"/>
          <w:szCs w:val="24"/>
          <w:lang w:val="en-US" w:eastAsia="zh-CN" w:bidi="zh-CN"/>
        </w:rPr>
        <w:t>植被主要有马尾松</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楝树</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白栎</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刺槐</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杉树</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柏树等，以混交林为主。评价区内无国家重点保护植物。</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（6）评价区内植被类型针叶林</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人工林地</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人工栽培作物</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阔叶林</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竹林</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灌</w:t>
      </w:r>
      <w:r>
        <w:rPr>
          <w:rFonts w:hint="eastAsia" w:ascii="Times New Roman" w:hAnsi="Times New Roman" w:cs="Times New Roman"/>
          <w:b w:val="0"/>
          <w:bCs w:val="0"/>
          <w:sz w:val="24"/>
          <w:szCs w:val="24"/>
          <w:lang w:val="en-US" w:eastAsia="zh-CN" w:bidi="zh-CN"/>
        </w:rPr>
        <w:t>草丛</w:t>
      </w:r>
      <w:r>
        <w:rPr>
          <w:rFonts w:hint="default" w:ascii="Times New Roman" w:hAnsi="Times New Roman" w:cs="Times New Roman"/>
          <w:b w:val="0"/>
          <w:bCs w:val="0"/>
          <w:sz w:val="24"/>
          <w:szCs w:val="24"/>
          <w:lang w:val="en-US" w:eastAsia="zh-CN" w:bidi="zh-CN"/>
        </w:rPr>
        <w:t>。</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（7）本工程沿线村庄密集，为人类活动频繁区域，野生动物活动踪迹较少，工程所在地没有野生动物集中分布区。沿线可能出现的野生动物以爬行类和两栖类为主，包括社鼠</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中华蟾蜍华西亚种</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峨眉林蛙</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花臭蛙</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泽陆蛙</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四川狭口蛙</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翠青蛇</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赤链蛇</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乌梢蛇等。沿线河流中鱼类主要为鲤</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鲫</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鲇</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鲢等常见经济鱼类，评价区没有珍稀保护鱼类三场分布。</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（8）本工程不涉及四川省境内的自然保护区</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风景名胜区</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森林公园</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湿地公园等特殊或重要生态敏感区</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不涉及饮用水源保护区</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四川省生态红线</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基本农田。</w:t>
      </w:r>
    </w:p>
    <w:p>
      <w:pPr>
        <w:pStyle w:val="4"/>
        <w:bidi w:val="0"/>
        <w:rPr>
          <w:rFonts w:hint="default"/>
          <w:lang w:val="en-US" w:eastAsia="zh-CN"/>
        </w:rPr>
      </w:pPr>
      <w:bookmarkStart w:id="97" w:name="_Toc12543"/>
      <w:r>
        <w:rPr>
          <w:rFonts w:hint="default"/>
          <w:lang w:val="en-US" w:eastAsia="zh-CN"/>
        </w:rPr>
        <w:t>3.3.水环境现状调查与评价</w:t>
      </w:r>
      <w:bookmarkEnd w:id="97"/>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3.3.1.沿线居民用水现状调查</w:t>
      </w:r>
    </w:p>
    <w:p>
      <w:pPr>
        <w:pageBreakBefore w:val="0"/>
        <w:widowControl w:val="0"/>
        <w:tabs>
          <w:tab w:val="left" w:pos="416"/>
          <w:tab w:val="left" w:pos="3941"/>
        </w:tabs>
        <w:kinsoku/>
        <w:wordWrap/>
        <w:overflowPunct/>
        <w:topLinePunct w:val="0"/>
        <w:autoSpaceDE w:val="0"/>
        <w:autoSpaceDN w:val="0"/>
        <w:bidi w:val="0"/>
        <w:adjustRightInd/>
        <w:snapToGrid/>
        <w:spacing w:before="0" w:after="0" w:line="360" w:lineRule="auto"/>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ab/>
      </w:r>
      <w:r>
        <w:rPr>
          <w:rFonts w:hint="default" w:ascii="Times New Roman" w:hAnsi="Times New Roman" w:cs="Times New Roman"/>
          <w:lang w:val="en-US" w:eastAsia="zh-CN"/>
        </w:rPr>
        <w:t>本项目为临巴镇绕场镇工程，沿线居民用水为市政管网供水。</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3.3.2.地表水环境质量现状</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根据《2020年达州市生态环境状况公报》：2020年全市区域水质状况评价为优（以年均值进行评价，粪大肠菌群不参与水质总体评价），23条河流37个地表水断面中优良水质（I~</w:t>
      </w:r>
      <w:r>
        <w:rPr>
          <w:rFonts w:hint="eastAsia" w:ascii="Times New Roman" w:hAnsi="Times New Roman" w:cs="Times New Roman"/>
          <w:b w:val="0"/>
          <w:bCs w:val="0"/>
          <w:sz w:val="24"/>
          <w:szCs w:val="24"/>
          <w:lang w:val="en-US" w:eastAsia="zh-CN" w:bidi="zh-CN"/>
        </w:rPr>
        <w:t>Ⅲ</w:t>
      </w:r>
      <w:r>
        <w:rPr>
          <w:rFonts w:hint="default" w:ascii="Times New Roman" w:hAnsi="Times New Roman" w:cs="Times New Roman"/>
          <w:b w:val="0"/>
          <w:bCs w:val="0"/>
          <w:sz w:val="24"/>
          <w:szCs w:val="24"/>
          <w:lang w:val="en-US" w:eastAsia="zh-CN" w:bidi="zh-CN"/>
        </w:rPr>
        <w:t>类）断面34个，占91.9%；</w:t>
      </w:r>
      <w:r>
        <w:rPr>
          <w:rFonts w:hint="eastAsia" w:ascii="Times New Roman" w:hAnsi="Times New Roman" w:cs="Times New Roman"/>
          <w:b w:val="0"/>
          <w:bCs w:val="0"/>
          <w:sz w:val="24"/>
          <w:szCs w:val="24"/>
          <w:lang w:val="en-US" w:eastAsia="zh-CN" w:bidi="zh-CN"/>
        </w:rPr>
        <w:t>Ⅳ类</w:t>
      </w:r>
      <w:r>
        <w:rPr>
          <w:rFonts w:hint="default" w:ascii="Times New Roman" w:hAnsi="Times New Roman" w:cs="Times New Roman"/>
          <w:b w:val="0"/>
          <w:bCs w:val="0"/>
          <w:sz w:val="24"/>
          <w:szCs w:val="24"/>
          <w:lang w:val="en-US" w:eastAsia="zh-CN" w:bidi="zh-CN"/>
        </w:rPr>
        <w:t>水质断面2个，占5.4%；V类水质断面1个，占2.7%；无劣V类水质断面。河流水质超标污染物有总磷</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氨氮</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化学需氧量。年均值超标的断面为东柳河墩子河</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平滩河牛角滩</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铜钵河山溪口码头。</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本项目位于达州市渠县临江镇，地表水体主要为渠江及其</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cs="Times New Roman"/>
          <w:b w:val="0"/>
          <w:bCs w:val="0"/>
          <w:sz w:val="24"/>
          <w:szCs w:val="24"/>
          <w:lang w:val="en-US" w:eastAsia="zh-CN" w:bidi="zh-CN"/>
        </w:rPr>
        <w:t>。属于地表水环境质量达标区。</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为进一步了解项目区域地表水水质，</w:t>
      </w:r>
      <w:r>
        <w:rPr>
          <w:rFonts w:hint="eastAsia" w:ascii="Times New Roman" w:hAnsi="Times New Roman" w:cs="Times New Roman"/>
          <w:b w:val="0"/>
          <w:bCs w:val="0"/>
          <w:sz w:val="24"/>
          <w:szCs w:val="24"/>
          <w:lang w:val="en-US" w:eastAsia="zh-CN" w:bidi="zh-CN"/>
        </w:rPr>
        <w:t>本项目引用</w:t>
      </w:r>
      <w:r>
        <w:rPr>
          <w:rFonts w:hint="default" w:ascii="Times New Roman" w:hAnsi="Times New Roman" w:cs="Times New Roman"/>
          <w:b w:val="0"/>
          <w:bCs w:val="0"/>
          <w:sz w:val="24"/>
          <w:szCs w:val="24"/>
          <w:lang w:val="en-US" w:eastAsia="zh-CN" w:bidi="zh-CN"/>
        </w:rPr>
        <w:t>优环境检测成都有限责任公司对项目周边地表水体水质进行监测。</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（1）检测项目</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频次及点位设置</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 xml:space="preserve">   本次检测项目</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 xml:space="preserve">频次及点位设置见下表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表3</w:t>
      </w:r>
      <w:r>
        <w:rPr>
          <w:rFonts w:hint="default" w:ascii="Times New Roman" w:hAnsi="Times New Roman" w:cs="Times New Roman"/>
          <w:b/>
          <w:bCs/>
          <w:sz w:val="21"/>
          <w:szCs w:val="21"/>
          <w:highlight w:val="none"/>
          <w:lang w:val="en-US" w:eastAsia="zh-CN"/>
        </w:rPr>
        <w:t xml:space="preserve">.3-1 </w:t>
      </w:r>
      <w:r>
        <w:rPr>
          <w:rFonts w:hint="default" w:ascii="Times New Roman" w:hAnsi="Times New Roman" w:eastAsia="宋体" w:cs="Times New Roman"/>
          <w:b/>
          <w:bCs/>
          <w:sz w:val="21"/>
          <w:szCs w:val="21"/>
          <w:highlight w:val="none"/>
          <w:lang w:val="en-US" w:eastAsia="zh-CN"/>
        </w:rPr>
        <w:t>检测项目</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eastAsia="zh-CN"/>
        </w:rPr>
        <w:t>频次及点位设置</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3319"/>
        <w:gridCol w:w="2369"/>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23" w:type="dxa"/>
            <w:tcBorders>
              <w:bottom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项目类别</w:t>
            </w:r>
          </w:p>
        </w:tc>
        <w:tc>
          <w:tcPr>
            <w:tcW w:w="2910" w:type="dxa"/>
            <w:tcBorders>
              <w:bottom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检测项目</w:t>
            </w:r>
          </w:p>
        </w:tc>
        <w:tc>
          <w:tcPr>
            <w:tcW w:w="2072" w:type="dxa"/>
            <w:tcBorders>
              <w:bottom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检测点位</w:t>
            </w:r>
          </w:p>
        </w:tc>
        <w:tc>
          <w:tcPr>
            <w:tcW w:w="2180" w:type="dxa"/>
            <w:tcBorders>
              <w:bottom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exact"/>
          <w:jc w:val="center"/>
        </w:trPr>
        <w:tc>
          <w:tcPr>
            <w:tcW w:w="923" w:type="dxa"/>
            <w:tcBorders>
              <w:top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地表水</w:t>
            </w:r>
          </w:p>
        </w:tc>
        <w:tc>
          <w:tcPr>
            <w:tcW w:w="2910" w:type="dxa"/>
            <w:tcBorders>
              <w:top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1"/>
                <w:highlight w:val="none"/>
                <w:vertAlign w:val="baseline"/>
                <w:lang w:val="en-US" w:eastAsia="zh-CN" w:bidi="ar-SA"/>
              </w:rPr>
              <w:t>pH值</w:t>
            </w:r>
            <w:r>
              <w:rPr>
                <w:rFonts w:hint="eastAsia" w:ascii="Times New Roman" w:hAnsi="Times New Roman" w:cs="Times New Roman"/>
                <w:b w:val="0"/>
                <w:bCs w:val="0"/>
                <w:kern w:val="2"/>
                <w:sz w:val="21"/>
                <w:szCs w:val="21"/>
                <w:highlight w:val="none"/>
                <w:vertAlign w:val="baseline"/>
                <w:lang w:val="en-US" w:eastAsia="zh-CN" w:bidi="ar-SA"/>
              </w:rPr>
              <w:t>、</w:t>
            </w:r>
            <w:r>
              <w:rPr>
                <w:rFonts w:hint="default" w:ascii="Times New Roman" w:hAnsi="Times New Roman" w:eastAsia="宋体" w:cs="Times New Roman"/>
                <w:b w:val="0"/>
                <w:bCs w:val="0"/>
                <w:kern w:val="2"/>
                <w:sz w:val="21"/>
                <w:szCs w:val="21"/>
                <w:highlight w:val="none"/>
                <w:vertAlign w:val="baseline"/>
                <w:lang w:val="en-US" w:eastAsia="zh-CN" w:bidi="ar-SA"/>
              </w:rPr>
              <w:t>化学需氧量</w:t>
            </w:r>
            <w:r>
              <w:rPr>
                <w:rFonts w:hint="eastAsia" w:ascii="Times New Roman" w:hAnsi="Times New Roman" w:cs="Times New Roman"/>
                <w:b w:val="0"/>
                <w:bCs w:val="0"/>
                <w:kern w:val="2"/>
                <w:sz w:val="21"/>
                <w:szCs w:val="21"/>
                <w:highlight w:val="none"/>
                <w:vertAlign w:val="baseline"/>
                <w:lang w:val="en-US" w:eastAsia="zh-CN" w:bidi="ar-SA"/>
              </w:rPr>
              <w:t>、</w:t>
            </w:r>
            <w:r>
              <w:rPr>
                <w:rFonts w:hint="default" w:ascii="Times New Roman" w:hAnsi="Times New Roman" w:eastAsia="宋体" w:cs="Times New Roman"/>
                <w:b w:val="0"/>
                <w:bCs w:val="0"/>
                <w:kern w:val="2"/>
                <w:sz w:val="21"/>
                <w:szCs w:val="21"/>
                <w:highlight w:val="none"/>
                <w:vertAlign w:val="baseline"/>
                <w:lang w:val="en-US" w:eastAsia="zh-CN" w:bidi="ar-SA"/>
              </w:rPr>
              <w:t>五日生化需氧量</w:t>
            </w:r>
            <w:r>
              <w:rPr>
                <w:rFonts w:hint="eastAsia" w:ascii="Times New Roman" w:hAnsi="Times New Roman" w:cs="Times New Roman"/>
                <w:b w:val="0"/>
                <w:bCs w:val="0"/>
                <w:kern w:val="2"/>
                <w:sz w:val="21"/>
                <w:szCs w:val="21"/>
                <w:highlight w:val="none"/>
                <w:vertAlign w:val="baseline"/>
                <w:lang w:val="en-US" w:eastAsia="zh-CN" w:bidi="ar-SA"/>
              </w:rPr>
              <w:t>、</w:t>
            </w:r>
            <w:r>
              <w:rPr>
                <w:rFonts w:hint="default" w:ascii="Times New Roman" w:hAnsi="Times New Roman" w:eastAsia="宋体" w:cs="Times New Roman"/>
                <w:b w:val="0"/>
                <w:bCs w:val="0"/>
                <w:kern w:val="2"/>
                <w:sz w:val="21"/>
                <w:szCs w:val="21"/>
                <w:highlight w:val="none"/>
                <w:vertAlign w:val="baseline"/>
                <w:lang w:val="en-US" w:eastAsia="zh-CN" w:bidi="ar-SA"/>
              </w:rPr>
              <w:t>悬浮物</w:t>
            </w:r>
            <w:r>
              <w:rPr>
                <w:rFonts w:hint="eastAsia" w:ascii="Times New Roman" w:hAnsi="Times New Roman" w:cs="Times New Roman"/>
                <w:b w:val="0"/>
                <w:bCs w:val="0"/>
                <w:kern w:val="2"/>
                <w:sz w:val="21"/>
                <w:szCs w:val="21"/>
                <w:highlight w:val="none"/>
                <w:vertAlign w:val="baseline"/>
                <w:lang w:val="en-US" w:eastAsia="zh-CN" w:bidi="ar-SA"/>
              </w:rPr>
              <w:t>、</w:t>
            </w:r>
            <w:r>
              <w:rPr>
                <w:rFonts w:hint="default" w:ascii="Times New Roman" w:hAnsi="Times New Roman" w:eastAsia="宋体" w:cs="Times New Roman"/>
                <w:b w:val="0"/>
                <w:bCs w:val="0"/>
                <w:kern w:val="2"/>
                <w:sz w:val="21"/>
                <w:szCs w:val="21"/>
                <w:highlight w:val="none"/>
                <w:vertAlign w:val="baseline"/>
                <w:lang w:val="en-US" w:eastAsia="zh-CN" w:bidi="ar-SA"/>
              </w:rPr>
              <w:t>氨氮</w:t>
            </w:r>
            <w:r>
              <w:rPr>
                <w:rFonts w:hint="eastAsia" w:ascii="Times New Roman" w:hAnsi="Times New Roman" w:cs="Times New Roman"/>
                <w:b w:val="0"/>
                <w:bCs w:val="0"/>
                <w:kern w:val="2"/>
                <w:sz w:val="21"/>
                <w:szCs w:val="21"/>
                <w:highlight w:val="none"/>
                <w:vertAlign w:val="baseline"/>
                <w:lang w:val="en-US" w:eastAsia="zh-CN" w:bidi="ar-SA"/>
              </w:rPr>
              <w:t>、</w:t>
            </w:r>
            <w:r>
              <w:rPr>
                <w:rFonts w:hint="default" w:ascii="Times New Roman" w:hAnsi="Times New Roman" w:eastAsia="宋体" w:cs="Times New Roman"/>
                <w:b w:val="0"/>
                <w:bCs w:val="0"/>
                <w:kern w:val="2"/>
                <w:sz w:val="21"/>
                <w:szCs w:val="21"/>
                <w:highlight w:val="none"/>
                <w:vertAlign w:val="baseline"/>
                <w:lang w:val="en-US" w:eastAsia="zh-CN" w:bidi="ar-SA"/>
              </w:rPr>
              <w:t>总磷</w:t>
            </w:r>
            <w:r>
              <w:rPr>
                <w:rFonts w:hint="eastAsia" w:ascii="Times New Roman" w:hAnsi="Times New Roman" w:cs="Times New Roman"/>
                <w:b w:val="0"/>
                <w:bCs w:val="0"/>
                <w:kern w:val="2"/>
                <w:sz w:val="21"/>
                <w:szCs w:val="21"/>
                <w:highlight w:val="none"/>
                <w:vertAlign w:val="baseline"/>
                <w:lang w:val="en-US" w:eastAsia="zh-CN" w:bidi="ar-SA"/>
              </w:rPr>
              <w:t>、</w:t>
            </w:r>
            <w:r>
              <w:rPr>
                <w:rFonts w:hint="default" w:ascii="Times New Roman" w:hAnsi="Times New Roman" w:eastAsia="宋体" w:cs="Times New Roman"/>
                <w:b w:val="0"/>
                <w:bCs w:val="0"/>
                <w:kern w:val="2"/>
                <w:sz w:val="21"/>
                <w:szCs w:val="21"/>
                <w:highlight w:val="none"/>
                <w:vertAlign w:val="baseline"/>
                <w:lang w:val="en-US" w:eastAsia="zh-CN" w:bidi="ar-SA"/>
              </w:rPr>
              <w:t>石油类</w:t>
            </w:r>
          </w:p>
        </w:tc>
        <w:tc>
          <w:tcPr>
            <w:tcW w:w="2072" w:type="dxa"/>
            <w:tcBorders>
              <w:top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pacing w:val="-6"/>
                <w:kern w:val="2"/>
                <w:sz w:val="21"/>
                <w:szCs w:val="21"/>
                <w:highlight w:val="none"/>
                <w:vertAlign w:val="baseline"/>
                <w:lang w:val="en-US" w:eastAsia="zh-CN" w:bidi="ar-SA"/>
              </w:rPr>
            </w:pPr>
            <w:r>
              <w:rPr>
                <w:rFonts w:hint="default" w:ascii="Times New Roman" w:hAnsi="Times New Roman" w:cs="Times New Roman"/>
                <w:b w:val="0"/>
                <w:bCs w:val="0"/>
                <w:sz w:val="21"/>
                <w:szCs w:val="21"/>
                <w:lang w:val="en-US" w:eastAsia="zh-CN"/>
              </w:rPr>
              <w:t>项目穿越1#</w:t>
            </w:r>
            <w:r>
              <w:rPr>
                <w:rFonts w:hint="eastAsia" w:ascii="Times New Roman" w:hAnsi="Times New Roman" w:cs="Times New Roman"/>
                <w:b w:val="0"/>
                <w:bCs w:val="0"/>
                <w:sz w:val="21"/>
                <w:szCs w:val="21"/>
                <w:lang w:val="en-US" w:eastAsia="zh-CN"/>
              </w:rPr>
              <w:t>知县坝河</w:t>
            </w:r>
            <w:r>
              <w:rPr>
                <w:rFonts w:hint="default" w:ascii="Times New Roman" w:hAnsi="Times New Roman" w:cs="Times New Roman"/>
                <w:b w:val="0"/>
                <w:bCs w:val="0"/>
                <w:sz w:val="21"/>
                <w:szCs w:val="21"/>
                <w:lang w:val="en-US" w:eastAsia="zh-CN"/>
              </w:rPr>
              <w:t>上游约100m处，项目穿越2#</w:t>
            </w:r>
            <w:r>
              <w:rPr>
                <w:rFonts w:hint="eastAsia" w:ascii="Times New Roman" w:hAnsi="Times New Roman" w:cs="Times New Roman"/>
                <w:b w:val="0"/>
                <w:bCs w:val="0"/>
                <w:sz w:val="21"/>
                <w:szCs w:val="21"/>
                <w:lang w:val="en-US" w:eastAsia="zh-CN"/>
              </w:rPr>
              <w:t>四合溪</w:t>
            </w:r>
            <w:r>
              <w:rPr>
                <w:rFonts w:hint="default" w:ascii="Times New Roman" w:hAnsi="Times New Roman" w:cs="Times New Roman"/>
                <w:b w:val="0"/>
                <w:bCs w:val="0"/>
                <w:sz w:val="21"/>
                <w:szCs w:val="21"/>
                <w:lang w:val="en-US" w:eastAsia="zh-CN"/>
              </w:rPr>
              <w:t>上游约100m处，渠江</w:t>
            </w:r>
            <w:r>
              <w:rPr>
                <w:rFonts w:hint="eastAsia" w:ascii="Times New Roman" w:hAnsi="Times New Roman" w:cs="Times New Roman"/>
                <w:b w:val="0"/>
                <w:bCs w:val="0"/>
                <w:sz w:val="21"/>
                <w:szCs w:val="21"/>
                <w:lang w:val="en-US" w:eastAsia="zh-CN"/>
              </w:rPr>
              <w:t>、县坝河、四合溪</w:t>
            </w:r>
            <w:r>
              <w:rPr>
                <w:rFonts w:hint="default" w:ascii="Times New Roman" w:hAnsi="Times New Roman" w:cs="Times New Roman"/>
                <w:b w:val="0"/>
                <w:bCs w:val="0"/>
                <w:sz w:val="21"/>
                <w:szCs w:val="21"/>
                <w:lang w:val="en-US" w:eastAsia="zh-CN"/>
              </w:rPr>
              <w:t>交汇处</w:t>
            </w:r>
          </w:p>
        </w:tc>
        <w:tc>
          <w:tcPr>
            <w:tcW w:w="2180" w:type="dxa"/>
            <w:tcBorders>
              <w:top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检测3天，1次/天</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outlineLvl w:val="9"/>
        <w:rPr>
          <w:rFonts w:hint="default" w:ascii="Times New Roman" w:hAnsi="Times New Roman" w:eastAsia="宋体" w:cs="Times New Roman"/>
          <w:b w:val="0"/>
          <w:bCs w:val="0"/>
          <w:sz w:val="21"/>
          <w:szCs w:val="21"/>
          <w:lang w:val="en-US" w:eastAsia="zh-CN"/>
        </w:rPr>
      </w:pP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（2）检测分析方法及方法来源</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检测项目的检测方法</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方法来源及检出限见下表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highlight w:val="none"/>
          <w:lang w:val="en-US" w:eastAsia="zh-CN"/>
        </w:rPr>
        <w:t>表3</w:t>
      </w:r>
      <w:r>
        <w:rPr>
          <w:rFonts w:hint="default" w:ascii="Times New Roman" w:hAnsi="Times New Roman" w:cs="Times New Roman"/>
          <w:b/>
          <w:bCs/>
          <w:sz w:val="21"/>
          <w:szCs w:val="21"/>
          <w:highlight w:val="none"/>
          <w:lang w:val="en-US" w:eastAsia="zh-CN"/>
        </w:rPr>
        <w:t>.3-2</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eastAsia="zh-CN"/>
        </w:rPr>
        <w:t>检</w:t>
      </w:r>
      <w:r>
        <w:rPr>
          <w:rFonts w:hint="default" w:ascii="Times New Roman" w:hAnsi="Times New Roman" w:eastAsia="宋体" w:cs="Times New Roman"/>
          <w:b/>
          <w:bCs/>
          <w:sz w:val="21"/>
          <w:szCs w:val="21"/>
        </w:rPr>
        <w:t>测方法及方法来源</w:t>
      </w:r>
    </w:p>
    <w:tbl>
      <w:tblPr>
        <w:tblStyle w:val="17"/>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7"/>
        <w:gridCol w:w="989"/>
        <w:gridCol w:w="3537"/>
        <w:gridCol w:w="976"/>
        <w:gridCol w:w="2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exact"/>
          <w:jc w:val="center"/>
        </w:trPr>
        <w:tc>
          <w:tcPr>
            <w:tcW w:w="1914" w:type="dxa"/>
            <w:gridSpan w:val="2"/>
            <w:tcBorders>
              <w:bottom w:val="single" w:color="auto" w:sz="12" w:space="0"/>
            </w:tcBorders>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项目</w:t>
            </w:r>
            <w:r>
              <w:rPr>
                <w:rFonts w:hint="default" w:ascii="Times New Roman" w:hAnsi="Times New Roman" w:eastAsia="宋体" w:cs="Times New Roman"/>
                <w:b w:val="0"/>
                <w:bCs w:val="0"/>
                <w:sz w:val="21"/>
                <w:szCs w:val="21"/>
                <w:lang w:eastAsia="zh-CN"/>
              </w:rPr>
              <w:t>类别</w:t>
            </w:r>
          </w:p>
        </w:tc>
        <w:tc>
          <w:tcPr>
            <w:tcW w:w="3914" w:type="dxa"/>
            <w:tcBorders>
              <w:bottom w:val="single" w:color="auto" w:sz="12" w:space="0"/>
            </w:tcBorders>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检</w:t>
            </w:r>
            <w:r>
              <w:rPr>
                <w:rFonts w:hint="default" w:ascii="Times New Roman" w:hAnsi="Times New Roman" w:eastAsia="宋体" w:cs="Times New Roman"/>
                <w:b w:val="0"/>
                <w:bCs w:val="0"/>
                <w:sz w:val="21"/>
                <w:szCs w:val="21"/>
              </w:rPr>
              <w:t>测方法</w:t>
            </w:r>
          </w:p>
        </w:tc>
        <w:tc>
          <w:tcPr>
            <w:tcW w:w="1077" w:type="dxa"/>
            <w:tcBorders>
              <w:bottom w:val="single" w:color="auto" w:sz="12" w:space="0"/>
            </w:tcBorders>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检出限</w:t>
            </w:r>
          </w:p>
        </w:tc>
        <w:tc>
          <w:tcPr>
            <w:tcW w:w="3096" w:type="dxa"/>
            <w:tcBorders>
              <w:bottom w:val="single" w:color="auto" w:sz="12" w:space="0"/>
            </w:tcBorders>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主要使用仪器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5" w:hRule="exact"/>
          <w:jc w:val="center"/>
        </w:trPr>
        <w:tc>
          <w:tcPr>
            <w:tcW w:w="824" w:type="dxa"/>
            <w:vMerge w:val="restart"/>
            <w:tcBorders>
              <w:top w:val="single" w:color="auto" w:sz="12" w:space="0"/>
            </w:tcBorders>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地表水</w:t>
            </w:r>
          </w:p>
        </w:tc>
        <w:tc>
          <w:tcPr>
            <w:tcW w:w="1090" w:type="dxa"/>
            <w:tcBorders>
              <w:top w:val="single" w:color="auto" w:sz="12" w:space="0"/>
              <w:bottom w:val="single" w:color="auto" w:sz="4" w:space="0"/>
            </w:tcBorders>
            <w:noWrap w:val="0"/>
            <w:vAlign w:val="center"/>
          </w:tcPr>
          <w:p>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lang w:val="en-US" w:eastAsia="zh-CN" w:bidi="ar-SA"/>
              </w:rPr>
            </w:pPr>
            <w:r>
              <w:rPr>
                <w:rFonts w:hint="default" w:ascii="Times New Roman" w:hAnsi="Times New Roman" w:eastAsia="宋体" w:cs="Times New Roman"/>
                <w:b w:val="0"/>
                <w:bCs w:val="0"/>
                <w:kern w:val="2"/>
                <w:sz w:val="21"/>
                <w:szCs w:val="21"/>
                <w:highlight w:val="none"/>
                <w:vertAlign w:val="baseline"/>
                <w:lang w:val="en-US" w:eastAsia="zh-CN" w:bidi="ar-SA"/>
              </w:rPr>
              <w:t>pH值</w:t>
            </w:r>
          </w:p>
        </w:tc>
        <w:tc>
          <w:tcPr>
            <w:tcW w:w="3914" w:type="dxa"/>
            <w:tcBorders>
              <w:top w:val="single" w:color="auto" w:sz="12"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水质 pH 值的测定 便携式pH 计法 《水和废水监测分析方法》（第四版）国家环境保护总局（2002 年）</w:t>
            </w:r>
          </w:p>
        </w:tc>
        <w:tc>
          <w:tcPr>
            <w:tcW w:w="1077" w:type="dxa"/>
            <w:tcBorders>
              <w:top w:val="single" w:color="auto" w:sz="12"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vertAlign w:val="baseline"/>
                <w:lang w:val="en-US" w:eastAsia="zh-CN"/>
              </w:rPr>
              <w:t>/</w:t>
            </w:r>
          </w:p>
        </w:tc>
        <w:tc>
          <w:tcPr>
            <w:tcW w:w="3096" w:type="dxa"/>
            <w:tcBorders>
              <w:top w:val="single" w:color="auto" w:sz="12" w:space="0"/>
              <w:bottom w:val="single" w:color="auto" w:sz="4" w:space="0"/>
            </w:tcBorders>
            <w:noWrap w:val="0"/>
            <w:vAlign w:val="center"/>
          </w:tcPr>
          <w:p>
            <w:pPr>
              <w:pStyle w:val="24"/>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pacing w:val="-6"/>
                <w:kern w:val="0"/>
                <w:sz w:val="21"/>
                <w:szCs w:val="21"/>
                <w:vertAlign w:val="baseline"/>
                <w:lang w:val="en-US" w:eastAsia="zh-CN" w:bidi="ar-SA"/>
              </w:rPr>
              <w:t>PHB-4便携式pH计H095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exact"/>
          <w:jc w:val="center"/>
        </w:trPr>
        <w:tc>
          <w:tcPr>
            <w:tcW w:w="824" w:type="dxa"/>
            <w:vMerge w:val="continue"/>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p>
        </w:tc>
        <w:tc>
          <w:tcPr>
            <w:tcW w:w="1090"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氨氮</w:t>
            </w:r>
          </w:p>
        </w:tc>
        <w:tc>
          <w:tcPr>
            <w:tcW w:w="3914"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水质 氨氮的测定 纳氏试剂分光光度法</w:t>
            </w:r>
          </w:p>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HJ 535-2009</w:t>
            </w:r>
          </w:p>
        </w:tc>
        <w:tc>
          <w:tcPr>
            <w:tcW w:w="1077"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0.025mg/L</w:t>
            </w:r>
          </w:p>
        </w:tc>
        <w:tc>
          <w:tcPr>
            <w:tcW w:w="3096" w:type="dxa"/>
            <w:tcBorders>
              <w:top w:val="single" w:color="auto" w:sz="4" w:space="0"/>
              <w:bottom w:val="single" w:color="auto" w:sz="4" w:space="0"/>
            </w:tcBorders>
            <w:noWrap w:val="0"/>
            <w:vAlign w:val="center"/>
          </w:tcPr>
          <w:p>
            <w:pPr>
              <w:pStyle w:val="24"/>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722N可见分光光度计H098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7" w:hRule="exact"/>
          <w:jc w:val="center"/>
        </w:trPr>
        <w:tc>
          <w:tcPr>
            <w:tcW w:w="824" w:type="dxa"/>
            <w:vMerge w:val="continue"/>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p>
        </w:tc>
        <w:tc>
          <w:tcPr>
            <w:tcW w:w="1090"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化学需氧量</w:t>
            </w:r>
          </w:p>
        </w:tc>
        <w:tc>
          <w:tcPr>
            <w:tcW w:w="3914"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水质 化学需氧量的测定 重铬酸盐法</w:t>
            </w:r>
          </w:p>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HJ 828-2017</w:t>
            </w:r>
          </w:p>
        </w:tc>
        <w:tc>
          <w:tcPr>
            <w:tcW w:w="1077"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4mg/L</w:t>
            </w:r>
          </w:p>
        </w:tc>
        <w:tc>
          <w:tcPr>
            <w:tcW w:w="3096" w:type="dxa"/>
            <w:tcBorders>
              <w:top w:val="single" w:color="auto" w:sz="4" w:space="0"/>
              <w:bottom w:val="single" w:color="auto" w:sz="4" w:space="0"/>
            </w:tcBorders>
            <w:noWrap w:val="0"/>
            <w:vAlign w:val="center"/>
          </w:tcPr>
          <w:p>
            <w:pPr>
              <w:pStyle w:val="24"/>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7" w:hRule="exact"/>
          <w:jc w:val="center"/>
        </w:trPr>
        <w:tc>
          <w:tcPr>
            <w:tcW w:w="824" w:type="dxa"/>
            <w:vMerge w:val="continue"/>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p>
        </w:tc>
        <w:tc>
          <w:tcPr>
            <w:tcW w:w="1090"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五日生化需氧量</w:t>
            </w:r>
          </w:p>
        </w:tc>
        <w:tc>
          <w:tcPr>
            <w:tcW w:w="3914"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水质 五日生化需氧量（BOD</w:t>
            </w:r>
            <w:r>
              <w:rPr>
                <w:rFonts w:hint="default" w:ascii="Times New Roman" w:hAnsi="Times New Roman" w:eastAsia="宋体" w:cs="Times New Roman"/>
                <w:b w:val="0"/>
                <w:bCs w:val="0"/>
                <w:color w:val="000000"/>
                <w:kern w:val="0"/>
                <w:sz w:val="21"/>
                <w:szCs w:val="21"/>
                <w:vertAlign w:val="subscript"/>
                <w:lang w:val="en-US" w:eastAsia="zh-CN" w:bidi="ar-SA"/>
              </w:rPr>
              <w:t>5</w:t>
            </w:r>
            <w:r>
              <w:rPr>
                <w:rFonts w:hint="default" w:ascii="Times New Roman" w:hAnsi="Times New Roman" w:eastAsia="宋体" w:cs="Times New Roman"/>
                <w:b w:val="0"/>
                <w:bCs w:val="0"/>
                <w:color w:val="000000"/>
                <w:kern w:val="0"/>
                <w:sz w:val="21"/>
                <w:szCs w:val="21"/>
                <w:vertAlign w:val="baseline"/>
                <w:lang w:val="en-US" w:eastAsia="zh-CN" w:bidi="ar-SA"/>
              </w:rPr>
              <w:t>）的测定 稀释与接种法 HJ 505-2009</w:t>
            </w:r>
          </w:p>
        </w:tc>
        <w:tc>
          <w:tcPr>
            <w:tcW w:w="1077"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0.5mg/L</w:t>
            </w:r>
          </w:p>
        </w:tc>
        <w:tc>
          <w:tcPr>
            <w:tcW w:w="3096"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LH-D701便携式溶解氧仪H136</w:t>
            </w:r>
            <w:r>
              <w:rPr>
                <w:rFonts w:hint="eastAsia" w:ascii="Times New Roman" w:hAnsi="Times New Roman" w:cs="Times New Roman"/>
                <w:b w:val="0"/>
                <w:bCs w:val="0"/>
                <w:color w:val="000000"/>
                <w:kern w:val="0"/>
                <w:sz w:val="21"/>
                <w:szCs w:val="21"/>
                <w:vertAlign w:val="baseline"/>
                <w:lang w:val="en-US" w:eastAsia="zh-CN" w:bidi="ar-SA"/>
              </w:rPr>
              <w:t>、</w:t>
            </w:r>
            <w:r>
              <w:rPr>
                <w:rFonts w:hint="default" w:ascii="Times New Roman" w:hAnsi="Times New Roman" w:eastAsia="宋体" w:cs="Times New Roman"/>
                <w:b w:val="0"/>
                <w:bCs w:val="0"/>
                <w:color w:val="000000"/>
                <w:kern w:val="0"/>
                <w:sz w:val="21"/>
                <w:szCs w:val="21"/>
                <w:vertAlign w:val="baseline"/>
                <w:lang w:val="en-US" w:eastAsia="zh-CN" w:bidi="ar-SA"/>
              </w:rPr>
              <w:t>LRH-250生化培养箱H089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exact"/>
          <w:jc w:val="center"/>
        </w:trPr>
        <w:tc>
          <w:tcPr>
            <w:tcW w:w="824" w:type="dxa"/>
            <w:vMerge w:val="continue"/>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p>
        </w:tc>
        <w:tc>
          <w:tcPr>
            <w:tcW w:w="1090"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总磷</w:t>
            </w:r>
          </w:p>
        </w:tc>
        <w:tc>
          <w:tcPr>
            <w:tcW w:w="3914"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水质 总磷的测定 钼酸铵分光光度法</w:t>
            </w:r>
          </w:p>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GB 11893-1989</w:t>
            </w:r>
          </w:p>
        </w:tc>
        <w:tc>
          <w:tcPr>
            <w:tcW w:w="1077"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0.01mg/L</w:t>
            </w:r>
          </w:p>
        </w:tc>
        <w:tc>
          <w:tcPr>
            <w:tcW w:w="3096"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SP-752紫外可见分光光度计H023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exact"/>
          <w:jc w:val="center"/>
        </w:trPr>
        <w:tc>
          <w:tcPr>
            <w:tcW w:w="824" w:type="dxa"/>
            <w:vMerge w:val="continue"/>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p>
        </w:tc>
        <w:tc>
          <w:tcPr>
            <w:tcW w:w="1090"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 xml:space="preserve"> 石油类</w:t>
            </w:r>
          </w:p>
        </w:tc>
        <w:tc>
          <w:tcPr>
            <w:tcW w:w="3914"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水质 石油类的测定紫外分光光度法 HJ970-2018</w:t>
            </w:r>
          </w:p>
        </w:tc>
        <w:tc>
          <w:tcPr>
            <w:tcW w:w="1077"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0.01mg/L</w:t>
            </w:r>
          </w:p>
        </w:tc>
        <w:tc>
          <w:tcPr>
            <w:tcW w:w="3096"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SP-752紫外可见分光光度计H023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exact"/>
          <w:jc w:val="center"/>
        </w:trPr>
        <w:tc>
          <w:tcPr>
            <w:tcW w:w="824" w:type="dxa"/>
            <w:vMerge w:val="continue"/>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p>
        </w:tc>
        <w:tc>
          <w:tcPr>
            <w:tcW w:w="1090"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悬浮物</w:t>
            </w:r>
          </w:p>
        </w:tc>
        <w:tc>
          <w:tcPr>
            <w:tcW w:w="3914"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水质 悬浮物的测定 重量法</w:t>
            </w:r>
          </w:p>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GB 11901-1989</w:t>
            </w:r>
          </w:p>
        </w:tc>
        <w:tc>
          <w:tcPr>
            <w:tcW w:w="1077"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w:t>
            </w:r>
          </w:p>
        </w:tc>
        <w:tc>
          <w:tcPr>
            <w:tcW w:w="3096" w:type="dxa"/>
            <w:tcBorders>
              <w:top w:val="single" w:color="auto" w:sz="4" w:space="0"/>
              <w:bottom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kern w:val="0"/>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vertAlign w:val="baseline"/>
                <w:lang w:val="en-US" w:eastAsia="zh-CN" w:bidi="ar-SA"/>
              </w:rPr>
              <w:t>AUW120D岛津分析天平H033</w:t>
            </w:r>
            <w:r>
              <w:rPr>
                <w:rFonts w:hint="eastAsia" w:ascii="Times New Roman" w:hAnsi="Times New Roman" w:cs="Times New Roman"/>
                <w:b w:val="0"/>
                <w:bCs w:val="0"/>
                <w:color w:val="000000"/>
                <w:kern w:val="0"/>
                <w:sz w:val="21"/>
                <w:szCs w:val="21"/>
                <w:vertAlign w:val="baseline"/>
                <w:lang w:val="en-US" w:eastAsia="zh-CN" w:bidi="ar-SA"/>
              </w:rPr>
              <w:t>、</w:t>
            </w:r>
            <w:r>
              <w:rPr>
                <w:rFonts w:hint="default" w:ascii="Times New Roman" w:hAnsi="Times New Roman" w:eastAsia="宋体" w:cs="Times New Roman"/>
                <w:b w:val="0"/>
                <w:bCs w:val="0"/>
                <w:color w:val="000000"/>
                <w:kern w:val="0"/>
                <w:sz w:val="21"/>
                <w:szCs w:val="21"/>
                <w:vertAlign w:val="baseline"/>
                <w:lang w:val="en-US" w:eastAsia="zh-CN" w:bidi="ar-SA"/>
              </w:rPr>
              <w:t>DHG-9070A电热鼓风干燥箱H025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7" w:hRule="exact"/>
          <w:jc w:val="center"/>
        </w:trPr>
        <w:tc>
          <w:tcPr>
            <w:tcW w:w="824" w:type="dxa"/>
            <w:tcBorders>
              <w:bottom w:val="single" w:color="auto" w:sz="12" w:space="0"/>
            </w:tcBorders>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vertAlign w:val="baseline"/>
                <w:lang w:val="en-US" w:eastAsia="zh-CN"/>
              </w:rPr>
              <w:t>噪声</w:t>
            </w:r>
          </w:p>
        </w:tc>
        <w:tc>
          <w:tcPr>
            <w:tcW w:w="1090" w:type="dxa"/>
            <w:tcBorders>
              <w:top w:val="single" w:color="auto" w:sz="4" w:space="0"/>
              <w:bottom w:val="single" w:color="auto" w:sz="12" w:space="0"/>
            </w:tcBorders>
            <w:noWrap w:val="0"/>
            <w:vAlign w:val="center"/>
          </w:tcPr>
          <w:p>
            <w:pPr>
              <w:pStyle w:val="16"/>
              <w:keepNext w:val="0"/>
              <w:keepLines w:val="0"/>
              <w:pageBreakBefore w:val="0"/>
              <w:kinsoku/>
              <w:wordWrap/>
              <w:overflowPunct/>
              <w:topLinePunct w:val="0"/>
              <w:bidi w:val="0"/>
              <w:snapToGrid w:val="0"/>
              <w:spacing w:before="0" w:beforeAutospacing="0" w:after="0" w:afterAutospacing="0" w:line="240" w:lineRule="exact"/>
              <w:jc w:val="center"/>
              <w:rPr>
                <w:rFonts w:hint="default" w:ascii="Times New Roman" w:hAnsi="Times New Roman" w:eastAsia="宋体" w:cs="Times New Roman"/>
                <w:b w:val="0"/>
                <w:bCs w:val="0"/>
                <w:spacing w:val="0"/>
                <w:kern w:val="0"/>
                <w:sz w:val="21"/>
                <w:szCs w:val="21"/>
                <w:vertAlign w:val="baseline"/>
                <w:lang w:val="en-US" w:eastAsia="zh-CN" w:bidi="ar-SA"/>
              </w:rPr>
            </w:pPr>
            <w:r>
              <w:rPr>
                <w:rFonts w:hint="default" w:ascii="Times New Roman" w:hAnsi="Times New Roman" w:eastAsia="宋体" w:cs="Times New Roman"/>
                <w:b w:val="0"/>
                <w:bCs w:val="0"/>
                <w:kern w:val="2"/>
                <w:sz w:val="21"/>
                <w:szCs w:val="21"/>
                <w:highlight w:val="none"/>
                <w:vertAlign w:val="baseline"/>
                <w:lang w:val="en-US" w:eastAsia="zh-CN" w:bidi="ar-SA"/>
              </w:rPr>
              <w:t>环境噪声</w:t>
            </w:r>
          </w:p>
        </w:tc>
        <w:tc>
          <w:tcPr>
            <w:tcW w:w="3914" w:type="dxa"/>
            <w:tcBorders>
              <w:top w:val="single" w:color="auto" w:sz="4" w:space="0"/>
              <w:bottom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声环境质量标准GB3096-2008</w:t>
            </w:r>
          </w:p>
        </w:tc>
        <w:tc>
          <w:tcPr>
            <w:tcW w:w="1077" w:type="dxa"/>
            <w:tcBorders>
              <w:top w:val="single" w:color="auto" w:sz="4" w:space="0"/>
              <w:bottom w:val="single" w:color="auto" w:sz="12" w:space="0"/>
            </w:tcBorders>
            <w:noWrap w:val="0"/>
            <w:vAlign w:val="center"/>
          </w:tcPr>
          <w:p>
            <w:pPr>
              <w:keepNext w:val="0"/>
              <w:keepLines w:val="0"/>
              <w:pageBreakBefore w:val="0"/>
              <w:widowControl w:val="0"/>
              <w:numPr>
                <w:ilvl w:val="0"/>
                <w:numId w:val="0"/>
              </w:numPr>
              <w:kinsoku/>
              <w:wordWrap/>
              <w:overflowPunct/>
              <w:topLinePunct w:val="0"/>
              <w:bidi w:val="0"/>
              <w:snapToGrid/>
              <w:spacing w:line="240" w:lineRule="exact"/>
              <w:ind w:left="0" w:leftChars="0" w:firstLine="0" w:firstLineChars="0"/>
              <w:jc w:val="center"/>
              <w:textAlignment w:val="auto"/>
              <w:outlineLvl w:val="9"/>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w:t>
            </w:r>
          </w:p>
        </w:tc>
        <w:tc>
          <w:tcPr>
            <w:tcW w:w="3096" w:type="dxa"/>
            <w:tcBorders>
              <w:top w:val="single" w:color="auto" w:sz="4" w:space="0"/>
              <w:bottom w:val="single" w:color="auto" w:sz="12" w:space="0"/>
            </w:tcBorders>
            <w:noWrap w:val="0"/>
            <w:vAlign w:val="center"/>
          </w:tcPr>
          <w:p>
            <w:pPr>
              <w:pStyle w:val="24"/>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AWA5688多功能声级计H141</w:t>
            </w:r>
            <w:r>
              <w:rPr>
                <w:rFonts w:hint="eastAsia" w:ascii="Times New Roman" w:hAnsi="Times New Roman" w:cs="Times New Roman"/>
                <w:b w:val="0"/>
                <w:bCs w:val="0"/>
                <w:spacing w:val="0"/>
                <w:sz w:val="21"/>
                <w:szCs w:val="21"/>
                <w:vertAlign w:val="baseline"/>
                <w:lang w:val="en-US" w:eastAsia="zh-CN"/>
              </w:rPr>
              <w:t>、</w:t>
            </w:r>
            <w:r>
              <w:rPr>
                <w:rFonts w:hint="default" w:ascii="Times New Roman" w:hAnsi="Times New Roman" w:eastAsia="宋体" w:cs="Times New Roman"/>
                <w:b w:val="0"/>
                <w:bCs w:val="0"/>
                <w:spacing w:val="0"/>
                <w:sz w:val="21"/>
                <w:szCs w:val="21"/>
                <w:vertAlign w:val="baseline"/>
                <w:lang w:val="en-US" w:eastAsia="zh-CN"/>
              </w:rPr>
              <w:t>AWA6022A声校准器H142</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val="0"/>
          <w:bCs w:val="0"/>
          <w:sz w:val="21"/>
          <w:szCs w:val="21"/>
          <w:lang w:val="en-US" w:eastAsia="zh-CN"/>
        </w:rPr>
      </w:pP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（3）检测结果</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检测结果见下表</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highlight w:val="none"/>
          <w:lang w:val="en-US" w:eastAsia="zh-CN"/>
        </w:rPr>
        <w:t>表3</w:t>
      </w:r>
      <w:r>
        <w:rPr>
          <w:rFonts w:hint="default" w:ascii="Times New Roman" w:hAnsi="Times New Roman" w:cs="Times New Roman"/>
          <w:b/>
          <w:bCs/>
          <w:sz w:val="21"/>
          <w:szCs w:val="21"/>
          <w:highlight w:val="none"/>
          <w:lang w:val="en-US" w:eastAsia="zh-CN"/>
        </w:rPr>
        <w:t>.3-3</w:t>
      </w:r>
      <w:r>
        <w:rPr>
          <w:rFonts w:hint="default" w:ascii="Times New Roman" w:hAnsi="Times New Roman" w:eastAsia="宋体" w:cs="Times New Roman"/>
          <w:b/>
          <w:bCs/>
          <w:sz w:val="21"/>
          <w:szCs w:val="21"/>
          <w:lang w:val="en-US" w:eastAsia="zh-CN"/>
        </w:rPr>
        <w:t>地表水检测结果</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531"/>
        <w:gridCol w:w="1320"/>
        <w:gridCol w:w="1321"/>
        <w:gridCol w:w="1321"/>
        <w:gridCol w:w="1321"/>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restart"/>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pacing w:val="0"/>
                <w:sz w:val="21"/>
                <w:szCs w:val="21"/>
                <w:lang w:val="en-US" w:eastAsia="zh-CN"/>
              </w:rPr>
              <w:t>检测点位</w:t>
            </w:r>
          </w:p>
        </w:tc>
        <w:tc>
          <w:tcPr>
            <w:tcW w:w="1337" w:type="dxa"/>
            <w:vMerge w:val="restart"/>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pacing w:val="0"/>
                <w:sz w:val="21"/>
                <w:szCs w:val="21"/>
                <w:lang w:eastAsia="zh-CN"/>
              </w:rPr>
              <w:t>检测项目</w:t>
            </w:r>
          </w:p>
        </w:tc>
        <w:tc>
          <w:tcPr>
            <w:tcW w:w="3455" w:type="dxa"/>
            <w:gridSpan w:val="3"/>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pacing w:val="0"/>
                <w:sz w:val="21"/>
                <w:szCs w:val="21"/>
                <w:highlight w:val="none"/>
                <w:lang w:val="en-US" w:eastAsia="zh-CN"/>
              </w:rPr>
              <w:t>检测结果（</w:t>
            </w:r>
            <w:r>
              <w:rPr>
                <w:rFonts w:hint="default" w:ascii="Times New Roman" w:hAnsi="Times New Roman" w:eastAsia="宋体" w:cs="Times New Roman"/>
                <w:b w:val="0"/>
                <w:bCs w:val="0"/>
                <w:kern w:val="0"/>
                <w:sz w:val="21"/>
                <w:szCs w:val="21"/>
                <w:lang w:val="en-US" w:eastAsia="zh-CN"/>
              </w:rPr>
              <w:t>mg/L</w:t>
            </w:r>
            <w:r>
              <w:rPr>
                <w:rFonts w:hint="default" w:ascii="Times New Roman" w:hAnsi="Times New Roman" w:eastAsia="宋体" w:cs="Times New Roman"/>
                <w:b w:val="0"/>
                <w:bCs w:val="0"/>
                <w:spacing w:val="0"/>
                <w:sz w:val="21"/>
                <w:szCs w:val="21"/>
                <w:highlight w:val="none"/>
                <w:lang w:val="en-US" w:eastAsia="zh-CN"/>
              </w:rPr>
              <w:t>）</w:t>
            </w:r>
          </w:p>
        </w:tc>
        <w:tc>
          <w:tcPr>
            <w:tcW w:w="1152" w:type="dxa"/>
            <w:vMerge w:val="restart"/>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pacing w:val="0"/>
                <w:sz w:val="21"/>
                <w:szCs w:val="21"/>
                <w:highlight w:val="none"/>
                <w:lang w:val="en-US" w:eastAsia="zh-CN"/>
              </w:rPr>
              <w:t>标准值（</w:t>
            </w:r>
            <w:r>
              <w:rPr>
                <w:rFonts w:hint="default" w:ascii="Times New Roman" w:hAnsi="Times New Roman" w:eastAsia="宋体" w:cs="Times New Roman"/>
                <w:b w:val="0"/>
                <w:bCs w:val="0"/>
                <w:kern w:val="0"/>
                <w:sz w:val="21"/>
                <w:szCs w:val="21"/>
                <w:lang w:val="en-US" w:eastAsia="zh-CN"/>
              </w:rPr>
              <w:t>mg/L</w:t>
            </w:r>
            <w:r>
              <w:rPr>
                <w:rFonts w:hint="default" w:ascii="Times New Roman" w:hAnsi="Times New Roman" w:eastAsia="宋体" w:cs="Times New Roman"/>
                <w:b w:val="0"/>
                <w:bCs w:val="0"/>
                <w:spacing w:val="0"/>
                <w:sz w:val="21"/>
                <w:szCs w:val="21"/>
                <w:highlight w:val="none"/>
                <w:lang w:val="en-US" w:eastAsia="zh-CN"/>
              </w:rPr>
              <w:t>）</w:t>
            </w:r>
          </w:p>
        </w:tc>
        <w:tc>
          <w:tcPr>
            <w:tcW w:w="1152" w:type="dxa"/>
            <w:vMerge w:val="restart"/>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pacing w:val="0"/>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11-2</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11-3</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11-4</w:t>
            </w:r>
          </w:p>
        </w:tc>
        <w:tc>
          <w:tcPr>
            <w:tcW w:w="1152"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152"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restart"/>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lang w:val="en-US" w:eastAsia="zh-CN"/>
              </w:rPr>
              <w:t>项目穿越1#（临巴中桥）</w:t>
            </w:r>
            <w:r>
              <w:rPr>
                <w:rFonts w:hint="eastAsia" w:ascii="Times New Roman" w:hAnsi="Times New Roman" w:cs="Times New Roman"/>
                <w:b w:val="0"/>
                <w:bCs w:val="0"/>
                <w:sz w:val="21"/>
                <w:szCs w:val="21"/>
                <w:lang w:val="en-US" w:eastAsia="zh-CN"/>
              </w:rPr>
              <w:t>四合溪</w:t>
            </w:r>
            <w:r>
              <w:rPr>
                <w:rFonts w:hint="default" w:ascii="Times New Roman" w:hAnsi="Times New Roman" w:eastAsia="宋体" w:cs="Times New Roman"/>
                <w:b w:val="0"/>
                <w:bCs w:val="0"/>
                <w:sz w:val="21"/>
                <w:szCs w:val="21"/>
                <w:lang w:val="en-US" w:eastAsia="zh-CN"/>
              </w:rPr>
              <w:t>上游约100m处</w:t>
            </w:r>
          </w:p>
        </w:tc>
        <w:tc>
          <w:tcPr>
            <w:tcW w:w="1337"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rPr>
              <w:t>pH</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7.26</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7.22</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7.20</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pacing w:val="0"/>
                <w:kern w:val="0"/>
                <w:sz w:val="21"/>
                <w:szCs w:val="21"/>
                <w:highlight w:val="none"/>
                <w:lang w:val="en-US" w:eastAsia="zh-CN" w:bidi="ar-SA"/>
              </w:rPr>
              <w:t>6~9</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rPr>
              <w:t>COD</w:t>
            </w:r>
            <w:r>
              <w:rPr>
                <w:rFonts w:hint="default" w:ascii="Times New Roman" w:hAnsi="Times New Roman" w:eastAsia="宋体" w:cs="Times New Roman"/>
                <w:b w:val="0"/>
                <w:bCs w:val="0"/>
                <w:sz w:val="21"/>
                <w:szCs w:val="21"/>
                <w:lang w:val="en-US" w:eastAsia="zh-CN"/>
              </w:rPr>
              <w:t>cr</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8</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w:t>
            </w:r>
          </w:p>
        </w:tc>
        <w:tc>
          <w:tcPr>
            <w:tcW w:w="1152" w:type="dxa"/>
            <w:vAlign w:val="center"/>
          </w:tcPr>
          <w:p>
            <w:pPr>
              <w:keepNext w:val="0"/>
              <w:keepLines w:val="0"/>
              <w:pageBreakBefore w:val="0"/>
              <w:kinsoku/>
              <w:wordWrap/>
              <w:overflowPunct/>
              <w:topLinePunct w:val="0"/>
              <w:bidi w:val="0"/>
              <w:adjustRightInd w:val="0"/>
              <w:spacing w:before="0" w:beforeAutospacing="0" w:after="0" w:afterAutospacing="0" w:line="240" w:lineRule="auto"/>
              <w:jc w:val="center"/>
              <w:textAlignment w:val="auto"/>
              <w:rPr>
                <w:rFonts w:hint="default" w:ascii="Times New Roman" w:hAnsi="Times New Roman" w:eastAsia="宋体" w:cs="Times New Roman"/>
                <w:b w:val="0"/>
                <w:bCs w:val="0"/>
                <w:spacing w:val="0"/>
                <w:kern w:val="0"/>
                <w:sz w:val="21"/>
                <w:szCs w:val="21"/>
                <w:highlight w:val="none"/>
                <w:lang w:val="en-US" w:eastAsia="zh-CN" w:bidi="ar-SA"/>
              </w:rPr>
            </w:pPr>
            <w:r>
              <w:rPr>
                <w:rFonts w:hint="default" w:ascii="Times New Roman" w:hAnsi="Times New Roman" w:eastAsia="宋体" w:cs="Times New Roman"/>
                <w:b w:val="0"/>
                <w:bCs w:val="0"/>
                <w:spacing w:val="0"/>
                <w:kern w:val="0"/>
                <w:sz w:val="21"/>
                <w:szCs w:val="21"/>
                <w:highlight w:val="none"/>
                <w:lang w:val="en-US" w:eastAsia="zh-CN" w:bidi="ar-SA"/>
              </w:rPr>
              <w:t>20</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rPr>
              <w:t>BOD5</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1.6</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1.8</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1.6</w:t>
            </w:r>
          </w:p>
        </w:tc>
        <w:tc>
          <w:tcPr>
            <w:tcW w:w="1152" w:type="dxa"/>
            <w:vAlign w:val="center"/>
          </w:tcPr>
          <w:p>
            <w:pPr>
              <w:keepNext w:val="0"/>
              <w:keepLines w:val="0"/>
              <w:pageBreakBefore w:val="0"/>
              <w:kinsoku/>
              <w:wordWrap/>
              <w:overflowPunct/>
              <w:topLinePunct w:val="0"/>
              <w:bidi w:val="0"/>
              <w:adjustRightInd w:val="0"/>
              <w:spacing w:before="0" w:beforeAutospacing="0" w:after="0" w:afterAutospacing="0" w:line="240" w:lineRule="auto"/>
              <w:jc w:val="center"/>
              <w:textAlignment w:val="auto"/>
              <w:rPr>
                <w:rFonts w:hint="default" w:ascii="Times New Roman" w:hAnsi="Times New Roman" w:eastAsia="宋体" w:cs="Times New Roman"/>
                <w:b w:val="0"/>
                <w:bCs w:val="0"/>
                <w:spacing w:val="0"/>
                <w:kern w:val="0"/>
                <w:sz w:val="21"/>
                <w:szCs w:val="21"/>
                <w:highlight w:val="none"/>
                <w:lang w:val="en-US" w:eastAsia="zh-CN" w:bidi="ar-SA"/>
              </w:rPr>
            </w:pPr>
            <w:r>
              <w:rPr>
                <w:rFonts w:hint="default" w:ascii="Times New Roman" w:hAnsi="Times New Roman" w:eastAsia="宋体" w:cs="Times New Roman"/>
                <w:b w:val="0"/>
                <w:bCs w:val="0"/>
                <w:spacing w:val="0"/>
                <w:kern w:val="0"/>
                <w:sz w:val="21"/>
                <w:szCs w:val="21"/>
                <w:highlight w:val="none"/>
                <w:lang w:val="en-US" w:eastAsia="zh-CN" w:bidi="ar-SA"/>
              </w:rPr>
              <w:t>4</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rPr>
              <w:t>悬浮物</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9</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8</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c>
          <w:tcPr>
            <w:tcW w:w="1152" w:type="dxa"/>
            <w:vAlign w:val="center"/>
          </w:tcPr>
          <w:p>
            <w:pPr>
              <w:keepNext w:val="0"/>
              <w:keepLines w:val="0"/>
              <w:pageBreakBefore w:val="0"/>
              <w:kinsoku/>
              <w:wordWrap/>
              <w:overflowPunct/>
              <w:topLinePunct w:val="0"/>
              <w:bidi w:val="0"/>
              <w:adjustRightInd w:val="0"/>
              <w:spacing w:before="0" w:beforeAutospacing="0" w:after="0" w:afterAutospacing="0" w:line="240" w:lineRule="auto"/>
              <w:jc w:val="center"/>
              <w:textAlignment w:val="auto"/>
              <w:rPr>
                <w:rFonts w:hint="default" w:ascii="Times New Roman" w:hAnsi="Times New Roman" w:eastAsia="宋体" w:cs="Times New Roman"/>
                <w:b w:val="0"/>
                <w:bCs w:val="0"/>
                <w:spacing w:val="0"/>
                <w:kern w:val="0"/>
                <w:sz w:val="21"/>
                <w:szCs w:val="21"/>
                <w:highlight w:val="none"/>
                <w:lang w:val="en-US" w:eastAsia="zh-CN" w:bidi="ar-SA"/>
              </w:rPr>
            </w:pPr>
            <w:r>
              <w:rPr>
                <w:rFonts w:hint="default" w:ascii="Times New Roman" w:hAnsi="Times New Roman" w:cs="Times New Roman"/>
                <w:b w:val="0"/>
                <w:bCs w:val="0"/>
                <w:spacing w:val="0"/>
                <w:kern w:val="0"/>
                <w:sz w:val="21"/>
                <w:szCs w:val="21"/>
                <w:highlight w:val="none"/>
                <w:lang w:val="en-US" w:eastAsia="zh-CN" w:bidi="ar-SA"/>
              </w:rPr>
              <w:t>/</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rPr>
              <w:t>氨氮</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0.114</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0.120</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0.117</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rPr>
              <w:t>总磷</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未检出</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未检出</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pacing w:val="0"/>
                <w:kern w:val="0"/>
                <w:sz w:val="21"/>
                <w:szCs w:val="21"/>
                <w:highlight w:val="none"/>
                <w:lang w:val="en-US" w:eastAsia="zh-CN" w:bidi="ar-SA"/>
              </w:rPr>
              <w:t>0.2</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石油类</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restart"/>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lang w:val="en-US" w:eastAsia="zh-CN"/>
              </w:rPr>
              <w:t>项目穿越2#（四合大桥）</w:t>
            </w:r>
            <w:r>
              <w:rPr>
                <w:rFonts w:hint="eastAsia" w:ascii="Times New Roman" w:hAnsi="Times New Roman" w:cs="Times New Roman"/>
                <w:b w:val="0"/>
                <w:bCs w:val="0"/>
                <w:sz w:val="21"/>
                <w:szCs w:val="21"/>
                <w:lang w:val="en-US" w:eastAsia="zh-CN"/>
              </w:rPr>
              <w:t>知县坝河</w:t>
            </w:r>
            <w:r>
              <w:rPr>
                <w:rFonts w:hint="default" w:ascii="Times New Roman" w:hAnsi="Times New Roman" w:eastAsia="宋体" w:cs="Times New Roman"/>
                <w:b w:val="0"/>
                <w:bCs w:val="0"/>
                <w:sz w:val="21"/>
                <w:szCs w:val="21"/>
                <w:lang w:val="en-US" w:eastAsia="zh-CN"/>
              </w:rPr>
              <w:t>上游约100m处</w:t>
            </w: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pH</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7.27</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7.19</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7.23</w:t>
            </w:r>
          </w:p>
        </w:tc>
        <w:tc>
          <w:tcPr>
            <w:tcW w:w="1152"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pacing w:val="0"/>
                <w:kern w:val="0"/>
                <w:sz w:val="21"/>
                <w:szCs w:val="21"/>
                <w:highlight w:val="none"/>
                <w:lang w:val="en-US" w:eastAsia="zh-CN" w:bidi="ar-SA"/>
              </w:rPr>
              <w:t>6~9</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COD</w:t>
            </w:r>
            <w:r>
              <w:rPr>
                <w:rFonts w:hint="default" w:ascii="Times New Roman" w:hAnsi="Times New Roman" w:eastAsia="宋体" w:cs="Times New Roman"/>
                <w:b w:val="0"/>
                <w:bCs w:val="0"/>
                <w:sz w:val="21"/>
                <w:szCs w:val="21"/>
                <w:lang w:val="en-US" w:eastAsia="zh-CN"/>
              </w:rPr>
              <w:t>cr</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8</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w:t>
            </w:r>
          </w:p>
        </w:tc>
        <w:tc>
          <w:tcPr>
            <w:tcW w:w="1152" w:type="dxa"/>
            <w:vAlign w:val="center"/>
          </w:tcPr>
          <w:p>
            <w:pPr>
              <w:keepNext w:val="0"/>
              <w:keepLines w:val="0"/>
              <w:pageBreakBefore w:val="0"/>
              <w:kinsoku/>
              <w:wordWrap/>
              <w:overflowPunct/>
              <w:topLinePunct w:val="0"/>
              <w:bidi w:val="0"/>
              <w:adjustRightInd w:val="0"/>
              <w:spacing w:before="0" w:beforeAutospacing="0" w:after="0" w:afterAutospacing="0"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spacing w:val="0"/>
                <w:kern w:val="0"/>
                <w:sz w:val="21"/>
                <w:szCs w:val="21"/>
                <w:highlight w:val="none"/>
                <w:lang w:val="en-US" w:eastAsia="zh-CN" w:bidi="ar-SA"/>
              </w:rPr>
              <w:t>20</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BOD5</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1.6</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1.4</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1.4</w:t>
            </w:r>
          </w:p>
        </w:tc>
        <w:tc>
          <w:tcPr>
            <w:tcW w:w="1152" w:type="dxa"/>
            <w:vAlign w:val="center"/>
          </w:tcPr>
          <w:p>
            <w:pPr>
              <w:keepNext w:val="0"/>
              <w:keepLines w:val="0"/>
              <w:pageBreakBefore w:val="0"/>
              <w:kinsoku/>
              <w:wordWrap/>
              <w:overflowPunct/>
              <w:topLinePunct w:val="0"/>
              <w:bidi w:val="0"/>
              <w:adjustRightInd w:val="0"/>
              <w:spacing w:before="0" w:beforeAutospacing="0" w:after="0" w:afterAutospacing="0"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spacing w:val="0"/>
                <w:kern w:val="0"/>
                <w:sz w:val="21"/>
                <w:szCs w:val="21"/>
                <w:highlight w:val="none"/>
                <w:lang w:val="en-US" w:eastAsia="zh-CN" w:bidi="ar-SA"/>
              </w:rPr>
              <w:t>4</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悬浮物</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9</w:t>
            </w:r>
          </w:p>
        </w:tc>
        <w:tc>
          <w:tcPr>
            <w:tcW w:w="1152" w:type="dxa"/>
            <w:vAlign w:val="center"/>
          </w:tcPr>
          <w:p>
            <w:pPr>
              <w:keepNext w:val="0"/>
              <w:keepLines w:val="0"/>
              <w:pageBreakBefore w:val="0"/>
              <w:kinsoku/>
              <w:wordWrap/>
              <w:overflowPunct/>
              <w:topLinePunct w:val="0"/>
              <w:bidi w:val="0"/>
              <w:adjustRightInd w:val="0"/>
              <w:spacing w:before="0" w:beforeAutospacing="0" w:after="0" w:afterAutospacing="0"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pacing w:val="0"/>
                <w:kern w:val="0"/>
                <w:sz w:val="21"/>
                <w:szCs w:val="21"/>
                <w:highlight w:val="none"/>
                <w:lang w:val="en-US" w:eastAsia="zh-CN" w:bidi="ar-SA"/>
              </w:rPr>
              <w:t>/</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氨氮</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0.076</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0.073</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0.085</w:t>
            </w:r>
          </w:p>
        </w:tc>
        <w:tc>
          <w:tcPr>
            <w:tcW w:w="1152"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总磷</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未检出</w:t>
            </w:r>
          </w:p>
        </w:tc>
        <w:tc>
          <w:tcPr>
            <w:tcW w:w="1152"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spacing w:val="0"/>
                <w:kern w:val="0"/>
                <w:sz w:val="21"/>
                <w:szCs w:val="21"/>
                <w:highlight w:val="none"/>
                <w:lang w:val="en-US" w:eastAsia="zh-CN" w:bidi="ar-SA"/>
              </w:rPr>
              <w:t>0.2</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石油类</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1152"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restart"/>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lang w:val="en-US" w:eastAsia="zh-CN"/>
              </w:rPr>
              <w:t>渠江</w:t>
            </w:r>
            <w:r>
              <w:rPr>
                <w:rFonts w:hint="eastAsia" w:ascii="Times New Roman" w:hAnsi="Times New Roman" w:cs="Times New Roman"/>
                <w:b w:val="0"/>
                <w:bCs w:val="0"/>
                <w:sz w:val="21"/>
                <w:szCs w:val="21"/>
                <w:lang w:val="en-US" w:eastAsia="zh-CN"/>
              </w:rPr>
              <w:t>、知县坝河、四合溪</w:t>
            </w:r>
            <w:r>
              <w:rPr>
                <w:rFonts w:hint="default" w:ascii="Times New Roman" w:hAnsi="Times New Roman" w:eastAsia="宋体" w:cs="Times New Roman"/>
                <w:b w:val="0"/>
                <w:bCs w:val="0"/>
                <w:sz w:val="21"/>
                <w:szCs w:val="21"/>
                <w:lang w:val="en-US" w:eastAsia="zh-CN"/>
              </w:rPr>
              <w:t>交汇处</w:t>
            </w: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pH</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7.38</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7.41</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7.35</w:t>
            </w:r>
          </w:p>
        </w:tc>
        <w:tc>
          <w:tcPr>
            <w:tcW w:w="1152"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pacing w:val="0"/>
                <w:kern w:val="0"/>
                <w:sz w:val="21"/>
                <w:szCs w:val="21"/>
                <w:highlight w:val="none"/>
                <w:lang w:val="en-US" w:eastAsia="zh-CN" w:bidi="ar-SA"/>
              </w:rPr>
              <w:t>6~9</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COD</w:t>
            </w:r>
            <w:r>
              <w:rPr>
                <w:rFonts w:hint="default" w:ascii="Times New Roman" w:hAnsi="Times New Roman" w:eastAsia="宋体" w:cs="Times New Roman"/>
                <w:b w:val="0"/>
                <w:bCs w:val="0"/>
                <w:sz w:val="21"/>
                <w:szCs w:val="21"/>
                <w:lang w:val="en-US" w:eastAsia="zh-CN"/>
              </w:rPr>
              <w:t>cr</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w:t>
            </w:r>
          </w:p>
        </w:tc>
        <w:tc>
          <w:tcPr>
            <w:tcW w:w="1152" w:type="dxa"/>
            <w:vAlign w:val="center"/>
          </w:tcPr>
          <w:p>
            <w:pPr>
              <w:keepNext w:val="0"/>
              <w:keepLines w:val="0"/>
              <w:pageBreakBefore w:val="0"/>
              <w:kinsoku/>
              <w:wordWrap/>
              <w:overflowPunct/>
              <w:topLinePunct w:val="0"/>
              <w:bidi w:val="0"/>
              <w:adjustRightInd w:val="0"/>
              <w:spacing w:before="0" w:beforeAutospacing="0" w:after="0" w:afterAutospacing="0"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spacing w:val="0"/>
                <w:kern w:val="0"/>
                <w:sz w:val="21"/>
                <w:szCs w:val="21"/>
                <w:highlight w:val="none"/>
                <w:lang w:val="en-US" w:eastAsia="zh-CN" w:bidi="ar-SA"/>
              </w:rPr>
              <w:t>20</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BOD5</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1.4</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1.5</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1.5</w:t>
            </w:r>
          </w:p>
        </w:tc>
        <w:tc>
          <w:tcPr>
            <w:tcW w:w="1152" w:type="dxa"/>
            <w:vAlign w:val="center"/>
          </w:tcPr>
          <w:p>
            <w:pPr>
              <w:keepNext w:val="0"/>
              <w:keepLines w:val="0"/>
              <w:pageBreakBefore w:val="0"/>
              <w:kinsoku/>
              <w:wordWrap/>
              <w:overflowPunct/>
              <w:topLinePunct w:val="0"/>
              <w:bidi w:val="0"/>
              <w:adjustRightInd w:val="0"/>
              <w:spacing w:before="0" w:beforeAutospacing="0" w:after="0" w:afterAutospacing="0"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spacing w:val="0"/>
                <w:kern w:val="0"/>
                <w:sz w:val="21"/>
                <w:szCs w:val="21"/>
                <w:highlight w:val="none"/>
                <w:lang w:val="en-US" w:eastAsia="zh-CN" w:bidi="ar-SA"/>
              </w:rPr>
              <w:t>4</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悬浮物</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5</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9</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w:t>
            </w:r>
          </w:p>
        </w:tc>
        <w:tc>
          <w:tcPr>
            <w:tcW w:w="1152" w:type="dxa"/>
            <w:vAlign w:val="center"/>
          </w:tcPr>
          <w:p>
            <w:pPr>
              <w:keepNext w:val="0"/>
              <w:keepLines w:val="0"/>
              <w:pageBreakBefore w:val="0"/>
              <w:kinsoku/>
              <w:wordWrap/>
              <w:overflowPunct/>
              <w:topLinePunct w:val="0"/>
              <w:bidi w:val="0"/>
              <w:adjustRightInd w:val="0"/>
              <w:spacing w:before="0" w:beforeAutospacing="0" w:after="0" w:afterAutospacing="0"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pacing w:val="0"/>
                <w:kern w:val="0"/>
                <w:sz w:val="21"/>
                <w:szCs w:val="21"/>
                <w:highlight w:val="none"/>
                <w:lang w:val="en-US" w:eastAsia="zh-CN" w:bidi="ar-SA"/>
              </w:rPr>
              <w:t>/</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氨氮</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0.290</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0.284</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0.290</w:t>
            </w:r>
          </w:p>
        </w:tc>
        <w:tc>
          <w:tcPr>
            <w:tcW w:w="1152"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总磷</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1152"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spacing w:val="0"/>
                <w:kern w:val="0"/>
                <w:sz w:val="21"/>
                <w:szCs w:val="21"/>
                <w:highlight w:val="none"/>
                <w:lang w:val="en-US" w:eastAsia="zh-CN" w:bidi="ar-SA"/>
              </w:rPr>
              <w:t>0.2</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p>
        </w:tc>
        <w:tc>
          <w:tcPr>
            <w:tcW w:w="1337"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石油类</w:t>
            </w:r>
          </w:p>
        </w:tc>
        <w:tc>
          <w:tcPr>
            <w:tcW w:w="1151"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1152" w:type="dxa"/>
            <w:vAlign w:val="center"/>
          </w:tcPr>
          <w:p>
            <w:pPr>
              <w:numPr>
                <w:ilvl w:val="0"/>
                <w:numId w:val="0"/>
              </w:numPr>
              <w:wordWrap w:val="0"/>
              <w:adjustRightInd w:val="0"/>
              <w:snapToGrid w:val="0"/>
              <w:spacing w:line="240" w:lineRule="auto"/>
              <w:ind w:left="0" w:leftChars="0" w:firstLine="0" w:firstLineChars="0"/>
              <w:jc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1152" w:type="dxa"/>
            <w:vAlign w:val="center"/>
          </w:tcPr>
          <w:p>
            <w:pPr>
              <w:numPr>
                <w:ilvl w:val="0"/>
                <w:numId w:val="0"/>
              </w:numPr>
              <w:wordWrap w:val="0"/>
              <w:adjustRightInd w:val="0"/>
              <w:snapToGrid w:val="0"/>
              <w:spacing w:line="240" w:lineRule="auto"/>
              <w:jc w:val="center"/>
              <w:rPr>
                <w:rFonts w:hint="default" w:ascii="Times New Roman" w:hAnsi="Times New Roman" w:eastAsia="宋体" w:cs="Times New Roman"/>
                <w:b w:val="0"/>
                <w:bCs w:val="0"/>
                <w:sz w:val="21"/>
                <w:szCs w:val="21"/>
                <w:highlight w:val="none"/>
                <w:vertAlign w:val="baseline"/>
              </w:rPr>
            </w:pPr>
            <w:r>
              <w:rPr>
                <w:rFonts w:hint="default" w:ascii="Times New Roman" w:hAnsi="Times New Roman" w:cs="Times New Roman"/>
                <w:b w:val="0"/>
                <w:bCs w:val="0"/>
                <w:sz w:val="21"/>
                <w:szCs w:val="21"/>
                <w:highlight w:val="none"/>
                <w:vertAlign w:val="baseline"/>
                <w:lang w:val="en-US" w:eastAsia="zh-CN"/>
              </w:rPr>
              <w:t>达标</w:t>
            </w:r>
          </w:p>
        </w:tc>
      </w:tr>
    </w:tbl>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综上，本项目所在地表水质量现状满足《地表水环境质量标准》（GB3838-2002）中</w:t>
      </w:r>
      <w:r>
        <w:rPr>
          <w:rFonts w:hint="default" w:ascii="Times New Roman" w:hAnsi="Times New Roman" w:cs="Times New Roman"/>
          <w:b w:val="0"/>
          <w:bCs w:val="0"/>
          <w:sz w:val="24"/>
          <w:szCs w:val="24"/>
          <w:lang w:val="en-US" w:eastAsia="zh-CN" w:bidi="zh-CN"/>
        </w:rPr>
        <w:fldChar w:fldCharType="begin"/>
      </w:r>
      <w:r>
        <w:rPr>
          <w:rFonts w:hint="default" w:ascii="Times New Roman" w:hAnsi="Times New Roman" w:cs="Times New Roman"/>
          <w:b w:val="0"/>
          <w:bCs w:val="0"/>
          <w:sz w:val="24"/>
          <w:szCs w:val="24"/>
          <w:lang w:val="en-US" w:eastAsia="zh-CN" w:bidi="zh-CN"/>
        </w:rPr>
        <w:instrText xml:space="preserve"> = 3 \* ROMAN \* MERGEFORMAT </w:instrText>
      </w:r>
      <w:r>
        <w:rPr>
          <w:rFonts w:hint="default" w:ascii="Times New Roman" w:hAnsi="Times New Roman" w:cs="Times New Roman"/>
          <w:b w:val="0"/>
          <w:bCs w:val="0"/>
          <w:sz w:val="24"/>
          <w:szCs w:val="24"/>
          <w:lang w:val="en-US" w:eastAsia="zh-CN" w:bidi="zh-CN"/>
        </w:rPr>
        <w:fldChar w:fldCharType="separate"/>
      </w:r>
      <w:r>
        <w:rPr>
          <w:rFonts w:hint="eastAsia" w:ascii="Times New Roman" w:hAnsi="Times New Roman" w:cs="Times New Roman"/>
          <w:b w:val="0"/>
          <w:bCs w:val="0"/>
          <w:sz w:val="24"/>
          <w:szCs w:val="24"/>
          <w:lang w:val="en-US" w:eastAsia="zh-CN" w:bidi="zh-CN"/>
        </w:rPr>
        <w:t>Ⅲ</w:t>
      </w:r>
      <w:r>
        <w:rPr>
          <w:rFonts w:hint="default" w:ascii="Times New Roman" w:hAnsi="Times New Roman" w:cs="Times New Roman"/>
          <w:b w:val="0"/>
          <w:bCs w:val="0"/>
          <w:sz w:val="24"/>
          <w:szCs w:val="24"/>
          <w:lang w:val="en-US" w:eastAsia="zh-CN" w:bidi="zh-CN"/>
        </w:rPr>
        <w:fldChar w:fldCharType="end"/>
      </w:r>
      <w:r>
        <w:rPr>
          <w:rFonts w:hint="default" w:ascii="Times New Roman" w:hAnsi="Times New Roman" w:cs="Times New Roman"/>
          <w:b w:val="0"/>
          <w:bCs w:val="0"/>
          <w:sz w:val="24"/>
          <w:szCs w:val="24"/>
          <w:lang w:val="en-US" w:eastAsia="zh-CN" w:bidi="zh-CN"/>
        </w:rPr>
        <w:t>类水域标准。</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本项目运营期不产生污水，不会对周边水环境产生不利影响。</w:t>
      </w:r>
    </w:p>
    <w:p>
      <w:pPr>
        <w:pStyle w:val="4"/>
        <w:bidi w:val="0"/>
        <w:rPr>
          <w:rFonts w:hint="default"/>
          <w:lang w:val="en-US" w:eastAsia="zh-CN"/>
        </w:rPr>
      </w:pPr>
      <w:bookmarkStart w:id="98" w:name="_Toc25473"/>
      <w:r>
        <w:rPr>
          <w:rFonts w:hint="default"/>
          <w:lang w:val="en-US" w:eastAsia="zh-CN"/>
        </w:rPr>
        <w:t>3.4.环境空气现状调查与评价</w:t>
      </w:r>
      <w:bookmarkEnd w:id="98"/>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根据《环境影响评价技术导则—大气环境》（HJ2.2-2018）导则要求，本工程大气环境影响评价等级为三级，三级评价仅需调查项目所在区域环境质量达标情况。</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根据《2020年达州市生态环境状况公报》：2020年全市空气质量日均值达标率为93.3%，较上年提高2.0个百分点。市城区及各县（市）空气质量达标率为89.3%~97.5%，其中，宣汉县94.3%，万源市97.5%，开江县95.1%，渠县93.4%，渠县90.2%，市城区89.3%。全市环境空气中主要污染物PM10</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PM2.5和O3。市城区SO2</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NO2</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PM10</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CO和O3年评价结果达标，PM2.5年评价结果超标，超标倍数为0.11倍；各县（市）SO2</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NO2</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PM10</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CO</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O3和PM2.5年评价结果均达标。</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综上，项目所在区域预期可满足《环境空气质量标准》（GB3095-2012）及其修改单中二级标准要求。</w:t>
      </w:r>
    </w:p>
    <w:p>
      <w:pPr>
        <w:pStyle w:val="4"/>
        <w:bidi w:val="0"/>
        <w:rPr>
          <w:rFonts w:hint="default"/>
          <w:lang w:val="en-US" w:eastAsia="zh-CN"/>
        </w:rPr>
      </w:pPr>
      <w:bookmarkStart w:id="99" w:name="_Toc22980"/>
      <w:r>
        <w:rPr>
          <w:rFonts w:hint="default"/>
          <w:lang w:val="en-US" w:eastAsia="zh-CN"/>
        </w:rPr>
        <w:t>3.5.声环境现状调查与评价</w:t>
      </w:r>
      <w:bookmarkEnd w:id="99"/>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为了了解项目所在区域声环境质量现状，</w:t>
      </w:r>
      <w:r>
        <w:rPr>
          <w:rFonts w:hint="eastAsia" w:ascii="Times New Roman" w:hAnsi="Times New Roman" w:cs="Times New Roman"/>
          <w:b w:val="0"/>
          <w:bCs w:val="0"/>
          <w:sz w:val="24"/>
          <w:szCs w:val="24"/>
          <w:lang w:val="en-US" w:eastAsia="zh-CN" w:bidi="zh-CN"/>
        </w:rPr>
        <w:t>本项目引用</w:t>
      </w:r>
      <w:bookmarkStart w:id="219" w:name="_GoBack"/>
      <w:bookmarkEnd w:id="219"/>
      <w:r>
        <w:rPr>
          <w:rFonts w:hint="default" w:ascii="Times New Roman" w:hAnsi="Times New Roman" w:cs="Times New Roman"/>
          <w:b w:val="0"/>
          <w:bCs w:val="0"/>
          <w:sz w:val="24"/>
          <w:szCs w:val="24"/>
          <w:lang w:val="en-US" w:eastAsia="zh-CN" w:bidi="zh-CN"/>
        </w:rPr>
        <w:t>中优环境检测成都有限责任公司于2021年11月2日至11月3日对项目所在区域声环境质量现状进行了监测。</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（1）采样布点：</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1）布点原则</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本次评价对于声环境监测点的布设主要依据以下原则</w:t>
      </w:r>
      <w:r>
        <w:rPr>
          <w:rFonts w:hint="eastAsia" w:ascii="Times New Roman" w:hAnsi="Times New Roman" w:cs="Times New Roman"/>
          <w:b w:val="0"/>
          <w:bCs w:val="0"/>
          <w:sz w:val="24"/>
          <w:szCs w:val="24"/>
          <w:lang w:val="en-US" w:eastAsia="zh-CN" w:bidi="zh-CN"/>
        </w:rPr>
        <w:t>：</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①根据声环境敏感点所处的不同环境功能区，尤其是考虑受到现有县道</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乡道交通噪声影响的敏感点不同地点布点监测；</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②按照以点代线，点段结合，反馈全线的原则进行布设；</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③根据敏感点住户多少</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与拟建路面高差等影响因素布设监测点位。</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2）布点设置</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具体布点如下：</w:t>
      </w:r>
    </w:p>
    <w:p>
      <w:pPr>
        <w:pStyle w:val="11"/>
        <w:jc w:val="center"/>
        <w:rPr>
          <w:rFonts w:hint="default" w:ascii="Times New Roman" w:hAnsi="Times New Roman" w:cs="Times New Roman"/>
          <w:b/>
          <w:bCs/>
          <w:lang w:val="en-US" w:eastAsia="zh-CN"/>
        </w:rPr>
      </w:pPr>
      <w:r>
        <w:rPr>
          <w:rFonts w:hint="default" w:ascii="Times New Roman" w:hAnsi="Times New Roman" w:eastAsia="宋体" w:cs="Times New Roman"/>
          <w:b/>
          <w:bCs/>
          <w:szCs w:val="21"/>
          <w:lang w:val="en-US" w:eastAsia="zh-CN"/>
        </w:rPr>
        <w:t>表3</w:t>
      </w:r>
      <w:r>
        <w:rPr>
          <w:rFonts w:hint="eastAsia" w:ascii="Times New Roman" w:hAnsi="Times New Roman" w:cs="Times New Roman"/>
          <w:b/>
          <w:bCs/>
          <w:szCs w:val="21"/>
          <w:lang w:val="en-US" w:eastAsia="zh-CN"/>
        </w:rPr>
        <w:t>.5-1</w:t>
      </w:r>
      <w:r>
        <w:rPr>
          <w:rFonts w:hint="default" w:ascii="Times New Roman" w:hAnsi="Times New Roman" w:eastAsia="宋体" w:cs="Times New Roman"/>
          <w:b/>
          <w:bCs/>
          <w:szCs w:val="21"/>
          <w:lang w:val="en-US" w:eastAsia="zh-CN"/>
        </w:rPr>
        <w:t xml:space="preserve"> </w:t>
      </w:r>
      <w:r>
        <w:rPr>
          <w:rFonts w:hint="default" w:ascii="Times New Roman" w:hAnsi="Times New Roman" w:cs="Times New Roman"/>
          <w:b/>
          <w:bCs/>
          <w:color w:val="auto"/>
          <w:szCs w:val="21"/>
        </w:rPr>
        <w:t>声环境现状监测点</w:t>
      </w:r>
    </w:p>
    <w:tbl>
      <w:tblPr>
        <w:tblStyle w:val="17"/>
        <w:tblW w:w="47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43"/>
        <w:gridCol w:w="4102"/>
        <w:gridCol w:w="1340"/>
        <w:gridCol w:w="21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编号</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监测点位名称</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监测项目</w:t>
            </w:r>
          </w:p>
        </w:tc>
        <w:tc>
          <w:tcPr>
            <w:tcW w:w="22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项目西侧约30m处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镇居民面向拟建道路一侧1层住户窗外1m处</w:t>
            </w:r>
          </w:p>
        </w:tc>
        <w:tc>
          <w:tcPr>
            <w:tcW w:w="13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环境噪声</w:t>
            </w:r>
          </w:p>
        </w:tc>
        <w:tc>
          <w:tcPr>
            <w:tcW w:w="222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监测2天昼夜个一次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项目西侧约30m处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镇居民面向拟建道路一侧3层住户窗外1m处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项目西侧约30m处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镇居民面向拟建道路一侧5层住户窗外1m处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项目东侧约10m处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镇居民面向拟建道路一侧1层住户窗外1m处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项目东侧约10m处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镇居民面向拟建道路一侧3层住户窗外1m处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6#</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项目东侧约40m处散户居民面向拟建道路一侧高1.2m处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7#</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项目西侧约2m党群服务中心面向拟建道路一侧高1.2m处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项目东侧约5m处四合村居民面向拟建道路一侧高1.2m处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9#</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项目西侧约110m溪口村居民面向拟建道路一侧高1.2m处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项目西侧约90m溪口村居民面向拟建道路一侧高1.2m处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11#</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项目东侧约100m溪口村居民面向拟建道路一侧高1.2m处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12#</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项目西侧约100m溪口村居民面向拟建道路一侧高1.2m处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13#</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项目西侧约50m</w:t>
            </w:r>
            <w:r>
              <w:rPr>
                <w:rFonts w:hint="default" w:ascii="Times New Roman" w:hAnsi="Times New Roman" w:cs="Times New Roman"/>
                <w:b w:val="0"/>
                <w:bCs w:val="0"/>
                <w:sz w:val="21"/>
                <w:szCs w:val="21"/>
                <w:lang w:val="en-US" w:eastAsia="zh-CN"/>
              </w:rPr>
              <w:t>福善村</w:t>
            </w:r>
            <w:r>
              <w:rPr>
                <w:rFonts w:hint="default" w:ascii="Times New Roman" w:hAnsi="Times New Roman" w:eastAsia="宋体" w:cs="Times New Roman"/>
                <w:b w:val="0"/>
                <w:bCs w:val="0"/>
                <w:sz w:val="21"/>
                <w:szCs w:val="21"/>
                <w:lang w:val="en-US" w:eastAsia="zh-CN"/>
              </w:rPr>
              <w:t>居民面向拟建道路一侧高1.2m处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14#</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项目西侧约10m</w:t>
            </w:r>
            <w:r>
              <w:rPr>
                <w:rFonts w:hint="default" w:ascii="Times New Roman" w:hAnsi="Times New Roman" w:cs="Times New Roman"/>
                <w:b w:val="0"/>
                <w:bCs w:val="0"/>
                <w:sz w:val="21"/>
                <w:szCs w:val="21"/>
                <w:lang w:val="en-US" w:eastAsia="zh-CN"/>
              </w:rPr>
              <w:t>福善村</w:t>
            </w:r>
            <w:r>
              <w:rPr>
                <w:rFonts w:hint="default" w:ascii="Times New Roman" w:hAnsi="Times New Roman" w:eastAsia="宋体" w:cs="Times New Roman"/>
                <w:b w:val="0"/>
                <w:bCs w:val="0"/>
                <w:sz w:val="21"/>
                <w:szCs w:val="21"/>
                <w:lang w:val="en-US" w:eastAsia="zh-CN"/>
              </w:rPr>
              <w:t>居民面向拟建道路一侧高1.2m处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15#</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项目西侧约60m</w:t>
            </w:r>
            <w:r>
              <w:rPr>
                <w:rFonts w:hint="default" w:ascii="Times New Roman" w:hAnsi="Times New Roman" w:cs="Times New Roman"/>
                <w:b w:val="0"/>
                <w:bCs w:val="0"/>
                <w:sz w:val="21"/>
                <w:szCs w:val="21"/>
                <w:lang w:val="en-US" w:eastAsia="zh-CN"/>
              </w:rPr>
              <w:t>福善村</w:t>
            </w:r>
            <w:r>
              <w:rPr>
                <w:rFonts w:hint="default" w:ascii="Times New Roman" w:hAnsi="Times New Roman" w:eastAsia="宋体" w:cs="Times New Roman"/>
                <w:b w:val="0"/>
                <w:bCs w:val="0"/>
                <w:sz w:val="21"/>
                <w:szCs w:val="21"/>
                <w:lang w:val="en-US" w:eastAsia="zh-CN"/>
              </w:rPr>
              <w:t>居民面向拟建道路一侧1.2m处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16#</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拟建道路起点1.2m处</w:t>
            </w:r>
          </w:p>
        </w:tc>
        <w:tc>
          <w:tcPr>
            <w:tcW w:w="13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交通噪声</w:t>
            </w: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17#</w:t>
            </w:r>
          </w:p>
        </w:tc>
        <w:tc>
          <w:tcPr>
            <w:tcW w:w="42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拟建道路终点1.2m处</w:t>
            </w: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2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r>
    </w:tbl>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Cs w:val="21"/>
          <w:highlight w:val="none"/>
          <w:lang w:eastAsia="zh-CN"/>
        </w:rPr>
      </w:pP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（2）监测方法</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sz w:val="24"/>
          <w:szCs w:val="24"/>
          <w:lang w:val="en-US" w:eastAsia="zh-CN" w:bidi="zh-CN"/>
        </w:rPr>
        <w:t>按《声环境质量标准》</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GB3096-2008</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中有关规定进行。监测方法见下表。</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ascii="Times New Roman" w:hAnsi="Times New Roman" w:cs="Times New Roman"/>
          <w:b/>
          <w:bCs/>
          <w:color w:val="auto"/>
          <w:szCs w:val="21"/>
          <w:lang w:val="en-US" w:eastAsia="zh-CN"/>
        </w:rPr>
        <w:t>.5-2</w:t>
      </w:r>
      <w:r>
        <w:rPr>
          <w:rFonts w:hint="default" w:ascii="Times New Roman" w:hAnsi="Times New Roman" w:cs="Times New Roman"/>
          <w:b/>
          <w:bCs/>
          <w:color w:val="auto"/>
          <w:szCs w:val="21"/>
        </w:rPr>
        <w:t xml:space="preserve"> 噪声监测方法</w:t>
      </w:r>
    </w:p>
    <w:tbl>
      <w:tblPr>
        <w:tblStyle w:val="17"/>
        <w:tblW w:w="475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892"/>
        <w:gridCol w:w="1379"/>
        <w:gridCol w:w="1831"/>
        <w:gridCol w:w="3939"/>
        <w:gridCol w:w="120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jc w:val="center"/>
        </w:trPr>
        <w:tc>
          <w:tcPr>
            <w:tcW w:w="790" w:type="dxa"/>
            <w:tcBorders>
              <w:bottom w:val="single" w:color="auto" w:sz="6" w:space="0"/>
              <w:right w:val="single" w:color="auto" w:sz="6"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w:t>
            </w:r>
          </w:p>
        </w:tc>
        <w:tc>
          <w:tcPr>
            <w:tcW w:w="1233" w:type="dxa"/>
            <w:tcBorders>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监测方法</w:t>
            </w:r>
          </w:p>
        </w:tc>
        <w:tc>
          <w:tcPr>
            <w:tcW w:w="1646" w:type="dxa"/>
            <w:tcBorders>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方法来源</w:t>
            </w:r>
          </w:p>
        </w:tc>
        <w:tc>
          <w:tcPr>
            <w:tcW w:w="3565" w:type="dxa"/>
            <w:tcBorders>
              <w:left w:val="single" w:color="auto" w:sz="6" w:space="0"/>
              <w:bottom w:val="single" w:color="auto" w:sz="6"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使用仪器及编号</w:t>
            </w:r>
          </w:p>
        </w:tc>
        <w:tc>
          <w:tcPr>
            <w:tcW w:w="1072" w:type="dxa"/>
            <w:tcBorders>
              <w:left w:val="single" w:color="auto" w:sz="6" w:space="0"/>
              <w:bottom w:val="single" w:color="auto" w:sz="6"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检出限</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jc w:val="center"/>
        </w:trPr>
        <w:tc>
          <w:tcPr>
            <w:tcW w:w="790" w:type="dxa"/>
            <w:tcBorders>
              <w:top w:val="single" w:color="auto" w:sz="6" w:space="0"/>
              <w:right w:val="single" w:color="auto" w:sz="6"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环境噪声</w:t>
            </w:r>
          </w:p>
        </w:tc>
        <w:tc>
          <w:tcPr>
            <w:tcW w:w="1233" w:type="dxa"/>
            <w:tcBorders>
              <w:top w:val="single" w:color="auto" w:sz="6" w:space="0"/>
              <w:left w:val="single" w:color="auto" w:sz="6" w:space="0"/>
              <w:right w:val="single" w:color="auto" w:sz="6"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声环境质量标准</w:t>
            </w:r>
          </w:p>
        </w:tc>
        <w:tc>
          <w:tcPr>
            <w:tcW w:w="1646" w:type="dxa"/>
            <w:tcBorders>
              <w:top w:val="single" w:color="auto" w:sz="6" w:space="0"/>
              <w:left w:val="single" w:color="auto" w:sz="6" w:space="0"/>
              <w:right w:val="single" w:color="auto" w:sz="6"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GB3096-2008</w:t>
            </w:r>
          </w:p>
        </w:tc>
        <w:tc>
          <w:tcPr>
            <w:tcW w:w="3565" w:type="dxa"/>
            <w:tcBorders>
              <w:top w:val="single" w:color="auto" w:sz="6" w:space="0"/>
              <w:left w:val="single" w:color="auto" w:sz="6"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rPr>
              <w:t>AWA6228</w:t>
            </w:r>
            <w:r>
              <w:rPr>
                <w:rFonts w:hint="default" w:ascii="Times New Roman" w:hAnsi="Times New Roman" w:cs="Times New Roman"/>
                <w:b w:val="0"/>
                <w:bCs w:val="0"/>
                <w:color w:val="auto"/>
                <w:sz w:val="21"/>
                <w:szCs w:val="21"/>
                <w:lang w:val="en-US" w:eastAsia="zh-CN"/>
              </w:rPr>
              <w:t>+多功能声级计，ZHB-121</w:t>
            </w:r>
          </w:p>
        </w:tc>
        <w:tc>
          <w:tcPr>
            <w:tcW w:w="1072" w:type="dxa"/>
            <w:tcBorders>
              <w:top w:val="single" w:color="auto" w:sz="6" w:space="0"/>
              <w:left w:val="single" w:color="auto" w:sz="6" w:space="0"/>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w:t>
            </w:r>
          </w:p>
        </w:tc>
      </w:tr>
    </w:tbl>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（3）监测结果</w:t>
      </w:r>
    </w:p>
    <w:p>
      <w:pPr>
        <w:pStyle w:val="22"/>
        <w:keepNext w:val="0"/>
        <w:keepLines w:val="0"/>
        <w:pageBreakBefore w:val="0"/>
        <w:widowControl w:val="0"/>
        <w:numPr>
          <w:ilvl w:val="0"/>
          <w:numId w:val="0"/>
        </w:numPr>
        <w:tabs>
          <w:tab w:val="left" w:pos="1641"/>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噪声监测结果见下表。</w:t>
      </w:r>
    </w:p>
    <w:p>
      <w:pPr>
        <w:ind w:firstLine="482" w:firstLineChars="200"/>
        <w:jc w:val="right"/>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ascii="Times New Roman" w:hAnsi="Times New Roman" w:cs="Times New Roman"/>
          <w:b/>
          <w:bCs/>
          <w:color w:val="auto"/>
          <w:szCs w:val="21"/>
          <w:lang w:val="en-US" w:eastAsia="zh-CN"/>
        </w:rPr>
        <w:t>.5-3</w:t>
      </w:r>
      <w:r>
        <w:rPr>
          <w:rFonts w:hint="default" w:ascii="Times New Roman" w:hAnsi="Times New Roman" w:cs="Times New Roman"/>
          <w:b/>
          <w:bCs/>
          <w:color w:val="auto"/>
          <w:szCs w:val="21"/>
        </w:rPr>
        <w:t xml:space="preserve"> 环境噪声监测结果  </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rPr>
        <w:t>单位：dB（A）</w:t>
      </w:r>
    </w:p>
    <w:tbl>
      <w:tblPr>
        <w:tblStyle w:val="17"/>
        <w:tblW w:w="475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5374"/>
        <w:gridCol w:w="1001"/>
        <w:gridCol w:w="1054"/>
        <w:gridCol w:w="931"/>
        <w:gridCol w:w="88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vMerge w:val="restart"/>
            <w:tcBorders>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sz w:val="21"/>
                <w:szCs w:val="21"/>
                <w:lang w:val="en-US" w:eastAsia="zh-CN"/>
              </w:rPr>
              <w:t>监测点位名称</w:t>
            </w:r>
          </w:p>
        </w:tc>
        <w:tc>
          <w:tcPr>
            <w:tcW w:w="1755" w:type="dxa"/>
            <w:gridSpan w:val="2"/>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2</w:t>
            </w:r>
            <w:r>
              <w:rPr>
                <w:rFonts w:hint="default" w:ascii="Times New Roman" w:hAnsi="Times New Roman" w:cs="Times New Roman"/>
                <w:b w:val="0"/>
                <w:bCs w:val="0"/>
                <w:color w:val="auto"/>
                <w:sz w:val="21"/>
                <w:szCs w:val="21"/>
                <w:lang w:val="en-US" w:eastAsia="zh-CN"/>
              </w:rPr>
              <w:t>021-11-2</w:t>
            </w:r>
          </w:p>
        </w:tc>
        <w:tc>
          <w:tcPr>
            <w:tcW w:w="1548" w:type="dxa"/>
            <w:gridSpan w:val="2"/>
            <w:tcBorders>
              <w:left w:val="single" w:color="auto" w:sz="4" w:space="0"/>
              <w:bottom w:val="single" w:color="auto" w:sz="4"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2</w:t>
            </w:r>
            <w:r>
              <w:rPr>
                <w:rFonts w:hint="default" w:ascii="Times New Roman" w:hAnsi="Times New Roman" w:cs="Times New Roman"/>
                <w:b w:val="0"/>
                <w:bCs w:val="0"/>
                <w:color w:val="auto"/>
                <w:sz w:val="21"/>
                <w:szCs w:val="21"/>
                <w:lang w:val="en-US" w:eastAsia="zh-CN"/>
              </w:rPr>
              <w:t>021-11-3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vMerge w:val="continue"/>
            <w:tcBorders>
              <w:top w:val="single" w:color="auto" w:sz="12" w:space="0"/>
              <w:bottom w:val="single" w:color="auto" w:sz="4" w:space="0"/>
              <w:right w:val="single" w:color="auto" w:sz="4" w:space="0"/>
            </w:tcBorders>
            <w:noWrap w:val="0"/>
            <w:vAlign w:val="center"/>
          </w:tcPr>
          <w:p>
            <w:pPr>
              <w:widowControl/>
              <w:jc w:val="left"/>
              <w:rPr>
                <w:rFonts w:hint="default" w:ascii="Times New Roman" w:hAnsi="Times New Roman" w:cs="Times New Roman"/>
                <w:b w:val="0"/>
                <w:bCs w:val="0"/>
                <w:color w:val="auto"/>
                <w:sz w:val="21"/>
                <w:szCs w:val="21"/>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昼间</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夜间</w:t>
            </w:r>
          </w:p>
        </w:tc>
        <w:tc>
          <w:tcPr>
            <w:tcW w:w="7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昼间</w:t>
            </w:r>
          </w:p>
        </w:tc>
        <w:tc>
          <w:tcPr>
            <w:tcW w:w="753"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夜间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sz w:val="21"/>
                <w:szCs w:val="21"/>
                <w:lang w:val="en-US" w:eastAsia="zh-CN"/>
              </w:rPr>
              <w:t>项目西侧约30m处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镇居民面向拟建道路一侧1层住户窗外1m处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sz w:val="21"/>
                <w:szCs w:val="21"/>
                <w:lang w:val="en-US" w:eastAsia="zh-CN"/>
              </w:rPr>
              <w:t>项目西侧约30m处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镇居民面向拟建道路一侧3层住户窗外1m处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41</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56</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sz w:val="21"/>
                <w:szCs w:val="21"/>
                <w:lang w:val="en-US" w:eastAsia="zh-CN"/>
              </w:rPr>
              <w:t>项目西侧约30m处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镇居民面向拟建道路一侧5层住户窗外1m处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58</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39</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sz w:val="21"/>
                <w:szCs w:val="21"/>
                <w:lang w:val="en-US" w:eastAsia="zh-CN"/>
              </w:rPr>
              <w:t>项目东侧约10m处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镇居民面向拟建道路一侧1层住户窗外1m处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46</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项目东侧约10m处</w:t>
            </w:r>
            <w:r>
              <w:rPr>
                <w:rFonts w:hint="default" w:ascii="Times New Roman" w:hAnsi="Times New Roman" w:cs="Times New Roman"/>
                <w:b w:val="0"/>
                <w:bCs w:val="0"/>
                <w:sz w:val="21"/>
                <w:szCs w:val="21"/>
                <w:lang w:val="en-US" w:eastAsia="zh-CN"/>
              </w:rPr>
              <w:t>临巴</w:t>
            </w:r>
            <w:r>
              <w:rPr>
                <w:rFonts w:hint="default" w:ascii="Times New Roman" w:hAnsi="Times New Roman" w:eastAsia="宋体" w:cs="Times New Roman"/>
                <w:b w:val="0"/>
                <w:bCs w:val="0"/>
                <w:sz w:val="21"/>
                <w:szCs w:val="21"/>
                <w:lang w:val="en-US" w:eastAsia="zh-CN"/>
              </w:rPr>
              <w:t>镇居民面向拟建道路一侧3层住户窗外1m处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46</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56</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项目东侧约40m处散户居民面向拟建道路一侧高1.2m处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39</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56</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项目西侧约2m党群服务中心面向拟建道路一侧高1.2m处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42</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56</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项目东侧约5m处四合村居民面向拟建道路一侧高1.2m处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45</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54</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项目西侧约110m溪口村居民面向拟建道路一侧高1.2m处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56</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41</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52</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项目西侧约90m溪口村居民面向拟建道路一侧高1.2m处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46</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54</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项目东侧约100m溪口村居民面向拟建道路一侧高1.2m处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44</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43</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项目西侧约100m溪口村居民面向拟建道路一侧高1.2m处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39</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52</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项目西侧约50m</w:t>
            </w:r>
            <w:r>
              <w:rPr>
                <w:rFonts w:hint="default" w:ascii="Times New Roman" w:hAnsi="Times New Roman" w:cs="Times New Roman"/>
                <w:b w:val="0"/>
                <w:bCs w:val="0"/>
                <w:sz w:val="21"/>
                <w:szCs w:val="21"/>
                <w:lang w:val="en-US" w:eastAsia="zh-CN"/>
              </w:rPr>
              <w:t>福善村</w:t>
            </w:r>
            <w:r>
              <w:rPr>
                <w:rFonts w:hint="default" w:ascii="Times New Roman" w:hAnsi="Times New Roman" w:eastAsia="宋体" w:cs="Times New Roman"/>
                <w:b w:val="0"/>
                <w:bCs w:val="0"/>
                <w:sz w:val="21"/>
                <w:szCs w:val="21"/>
                <w:lang w:val="en-US" w:eastAsia="zh-CN"/>
              </w:rPr>
              <w:t>居民面向拟建道路一侧高1.2m处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46</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39</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52</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项目西侧约10m</w:t>
            </w:r>
            <w:r>
              <w:rPr>
                <w:rFonts w:hint="default" w:ascii="Times New Roman" w:hAnsi="Times New Roman" w:cs="Times New Roman"/>
                <w:b w:val="0"/>
                <w:bCs w:val="0"/>
                <w:sz w:val="21"/>
                <w:szCs w:val="21"/>
                <w:lang w:val="en-US" w:eastAsia="zh-CN"/>
              </w:rPr>
              <w:t>福善村</w:t>
            </w:r>
            <w:r>
              <w:rPr>
                <w:rFonts w:hint="default" w:ascii="Times New Roman" w:hAnsi="Times New Roman" w:eastAsia="宋体" w:cs="Times New Roman"/>
                <w:b w:val="0"/>
                <w:bCs w:val="0"/>
                <w:sz w:val="21"/>
                <w:szCs w:val="21"/>
                <w:lang w:val="en-US" w:eastAsia="zh-CN"/>
              </w:rPr>
              <w:t>居民面向拟建道路一侧高1.2m处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40</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53</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项目西侧约60m</w:t>
            </w:r>
            <w:r>
              <w:rPr>
                <w:rFonts w:hint="default" w:ascii="Times New Roman" w:hAnsi="Times New Roman" w:cs="Times New Roman"/>
                <w:b w:val="0"/>
                <w:bCs w:val="0"/>
                <w:sz w:val="21"/>
                <w:szCs w:val="21"/>
                <w:lang w:val="en-US" w:eastAsia="zh-CN"/>
              </w:rPr>
              <w:t>福善村</w:t>
            </w:r>
            <w:r>
              <w:rPr>
                <w:rFonts w:hint="default" w:ascii="Times New Roman" w:hAnsi="Times New Roman" w:eastAsia="宋体" w:cs="Times New Roman"/>
                <w:b w:val="0"/>
                <w:bCs w:val="0"/>
                <w:sz w:val="21"/>
                <w:szCs w:val="21"/>
                <w:lang w:val="en-US" w:eastAsia="zh-CN"/>
              </w:rPr>
              <w:t>居民面向拟建道路一侧1.2m处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40</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54</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拟建道路起点1.2m处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47</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63</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0" w:hRule="atLeast"/>
          <w:jc w:val="center"/>
        </w:trPr>
        <w:tc>
          <w:tcPr>
            <w:tcW w:w="463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z w:val="21"/>
                <w:szCs w:val="21"/>
                <w:lang w:val="en-US" w:eastAsia="zh-CN"/>
              </w:rPr>
              <w:t>拟建道路终点1.2m处</w:t>
            </w:r>
          </w:p>
        </w:tc>
        <w:tc>
          <w:tcPr>
            <w:tcW w:w="8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67</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42</w:t>
            </w:r>
          </w:p>
        </w:tc>
        <w:tc>
          <w:tcPr>
            <w:tcW w:w="795" w:type="dxa"/>
            <w:tcBorders>
              <w:top w:val="single" w:color="auto" w:sz="4" w:space="0"/>
              <w:left w:val="single" w:color="auto" w:sz="4" w:space="0"/>
              <w:bottom w:val="single" w:color="auto" w:sz="4" w:space="0"/>
              <w:right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61</w:t>
            </w:r>
          </w:p>
        </w:tc>
        <w:tc>
          <w:tcPr>
            <w:tcW w:w="753" w:type="dxa"/>
            <w:tcBorders>
              <w:top w:val="single" w:color="auto" w:sz="4" w:space="0"/>
              <w:left w:val="single" w:color="auto" w:sz="4" w:space="0"/>
              <w:bottom w:val="single" w:color="auto" w:sz="4" w:space="0"/>
            </w:tcBorders>
            <w:noWrap w:val="0"/>
            <w:vAlign w:val="center"/>
          </w:tcPr>
          <w:p>
            <w:pPr>
              <w:overflowPunct w:val="0"/>
              <w:autoSpaceDE w:val="0"/>
              <w:adjustRightInd w:val="0"/>
              <w:snapToGrid w:val="0"/>
              <w:spacing w:line="24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53</w:t>
            </w:r>
          </w:p>
        </w:tc>
      </w:tr>
    </w:tbl>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Cs w:val="21"/>
          <w:highlight w:val="none"/>
          <w:lang w:eastAsia="zh-CN"/>
        </w:rPr>
      </w:pP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根据噪声环境质量现状监测结果可知，道路起点</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终点</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35m内临街建筑面向道路一侧监测点昼</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夜间噪声均满足《声环境质量标准》（GB3096-2008）4a类标准要求，其他点位均满足《声环境质量标准》（GB3096-2008）2类标准要求，项目区域现状声环境质量良好。</w:t>
      </w: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2"/>
        <w:rPr>
          <w:rFonts w:hint="default"/>
          <w:lang w:val="en-US" w:eastAsia="zh-CN"/>
        </w:rPr>
      </w:pPr>
    </w:p>
    <w:p>
      <w:pPr>
        <w:rPr>
          <w:rFonts w:hint="default" w:ascii="Times New Roman" w:hAnsi="Times New Roman" w:eastAsia="宋体" w:cs="Times New Roman"/>
          <w:b w:val="0"/>
          <w:bCs w:val="0"/>
          <w:sz w:val="24"/>
          <w:szCs w:val="24"/>
          <w:lang w:val="en-US" w:eastAsia="zh-CN" w:bidi="zh-CN"/>
        </w:rPr>
      </w:pP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2"/>
        <w:rPr>
          <w:rFonts w:hint="default" w:ascii="Times New Roman" w:hAnsi="Times New Roman" w:eastAsia="宋体" w:cs="Times New Roman"/>
          <w:b w:val="0"/>
          <w:bCs w:val="0"/>
          <w:sz w:val="24"/>
          <w:szCs w:val="24"/>
          <w:lang w:val="en-US" w:eastAsia="zh-CN" w:bidi="zh-CN"/>
        </w:rPr>
      </w:pPr>
    </w:p>
    <w:p>
      <w:pPr>
        <w:rPr>
          <w:rFonts w:hint="default" w:ascii="Times New Roman" w:hAnsi="Times New Roman" w:eastAsia="宋体" w:cs="Times New Roman"/>
          <w:b w:val="0"/>
          <w:bCs w:val="0"/>
          <w:sz w:val="24"/>
          <w:szCs w:val="24"/>
          <w:lang w:val="en-US" w:eastAsia="zh-CN" w:bidi="zh-CN"/>
        </w:rPr>
      </w:pPr>
    </w:p>
    <w:p>
      <w:pPr>
        <w:pStyle w:val="3"/>
        <w:bidi w:val="0"/>
        <w:rPr>
          <w:rFonts w:hint="default"/>
          <w:lang w:val="en-US" w:eastAsia="zh-CN"/>
        </w:rPr>
      </w:pPr>
      <w:bookmarkStart w:id="100" w:name="_Toc5332"/>
      <w:r>
        <w:rPr>
          <w:rFonts w:hint="default"/>
          <w:lang w:val="en-US" w:eastAsia="zh-CN"/>
        </w:rPr>
        <w:t>4 环境影响预测与评价</w:t>
      </w:r>
      <w:bookmarkEnd w:id="100"/>
    </w:p>
    <w:p>
      <w:pPr>
        <w:pStyle w:val="4"/>
        <w:bidi w:val="0"/>
        <w:rPr>
          <w:rFonts w:hint="default"/>
          <w:lang w:val="en-US" w:eastAsia="zh-CN"/>
        </w:rPr>
      </w:pPr>
      <w:bookmarkStart w:id="101" w:name="_Toc29835"/>
      <w:r>
        <w:rPr>
          <w:rFonts w:hint="default"/>
          <w:lang w:val="en-US" w:eastAsia="zh-CN"/>
        </w:rPr>
        <w:t>4.1.生态环境影响预测与评价</w:t>
      </w:r>
      <w:bookmarkEnd w:id="101"/>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b w:val="0"/>
          <w:bCs w:val="0"/>
          <w:sz w:val="24"/>
          <w:szCs w:val="24"/>
          <w:lang w:val="en-US" w:eastAsia="zh-CN" w:bidi="zh-CN"/>
        </w:rPr>
      </w:pPr>
      <w:r>
        <w:rPr>
          <w:rFonts w:hint="default" w:ascii="Times New Roman" w:hAnsi="Times New Roman" w:cs="Times New Roman"/>
          <w:sz w:val="24"/>
          <w:szCs w:val="24"/>
          <w:lang w:val="en-US" w:eastAsia="zh-CN"/>
        </w:rPr>
        <w:t>4.1.1.永久占地对生态环境影响分析</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本项目占地主要为道路工程，会占用一定量的土地，施工会永久改变土地利用现状</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破坏占地范围内的植被，但通过植被恢复措施和绿化工程实施可使其生态影响得到一定的缓解。总体来说，本项目占用土地损失的面积相对于项目沿线地区是少量的，施工不会影响生态系统的稳定性和完整性。为了尽可能地减少施工过程对植被的破坏，在施工结束后对施工临时占地的植被恢复和补充，减少建筑垃圾的堆放，及时清除多余的土方和石料，严禁就地借土覆压植被，这样，可大大降低项目施工所造成的生态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路基工程对生态环境影响分析</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本项目路基工程主要占地类型为林地和耕地，项目会对征地范围内的林地和耕地造成永久性的破坏，使其丧失原有土地利用功能，转变为交通运输用地；同时由于对农作物</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天然林的破坏，易引起水土流失。为了降低工程建设对农业生态系统的影响，建议下阶段设计中尽量缩短路基边坡，降低对耕地占压，并严禁施工人员越界施工。施工前先剥离表层耕作土，并妥善保存，待施工结束后及时回填路基边坡，或用于改良造田。对于占用的林木</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幼小树苗，建议尽量移植，或作为本工程的绿化树种，并做好征地后的土地调整与土地补偿工作，通过采取有效的生态保护措施后，工程建设对农业生态环境影响是可以接受的。</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桥梁工程对生态环境影响分析</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桥梁施工对生态环境的影响主要体现为：桥墩开挖将会加剧该区域水土流失，开挖产生的弃渣不妥善处理将会对工程沿线景观产生不利影响；桥梁建设对两岸植被的影响。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为降低桥梁施工的影响，建议将桥墩开挖施工过程产生的弃渣弃于指定的弃渣场，并做好弃渣的防护和排水工作，严禁随意弃渣；桥墩泥浆水采用沉浆池处理，钻渣及时清运至弃渣场，泥浆循环使用，禁止排入水体，桥头护坡要防止水流冲刷对桥梁破坏引发次生生态环境影响。通过采取有效的生态保护措施后，工程桥梁建设对生态环境影响是可以接受的。</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4.1.2.临时占地工程对生态环境影响分析</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取土场对生态环境影响分析</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土方开采过程中一般都伴随植被的破坏，表层土体的剥离等过程，这些过程破坏了生态系统的稳定与良性循环，产生了一定的生态环境影响和危害。</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default" w:ascii="Times New Roman" w:hAnsi="Times New Roman" w:eastAsia="宋体" w:cs="Times New Roman"/>
          <w:b w:val="0"/>
          <w:bCs w:val="0"/>
          <w:sz w:val="24"/>
          <w:szCs w:val="24"/>
          <w:lang w:val="en-US" w:eastAsia="zh-CN" w:bidi="zh-CN"/>
        </w:rPr>
        <w:t>对植物的影响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由于土方的开采破坏了原有的植被和地貌景观，不可避免会对地表植被造成破坏，另表土堆存也会占压和覆盖植。造成局部植被覆盖率下降。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评价要求建设单位做好表土的暂存，并及时进行复垦。</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w:t>
      </w:r>
      <w:r>
        <w:rPr>
          <w:rFonts w:hint="default" w:ascii="Times New Roman" w:hAnsi="Times New Roman" w:eastAsia="宋体" w:cs="Times New Roman"/>
          <w:b w:val="0"/>
          <w:bCs w:val="0"/>
          <w:sz w:val="24"/>
          <w:szCs w:val="24"/>
          <w:lang w:val="en-US" w:eastAsia="zh-CN" w:bidi="zh-CN"/>
        </w:rPr>
        <w:t>对动物的影响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工程沿线人类活动频繁，取土作业不会对野生动物产生明显影响。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w:t>
      </w:r>
      <w:r>
        <w:rPr>
          <w:rFonts w:hint="default" w:ascii="Times New Roman" w:hAnsi="Times New Roman" w:eastAsia="宋体" w:cs="Times New Roman"/>
          <w:b w:val="0"/>
          <w:bCs w:val="0"/>
          <w:sz w:val="24"/>
          <w:szCs w:val="24"/>
          <w:lang w:val="en-US" w:eastAsia="zh-CN" w:bidi="zh-CN"/>
        </w:rPr>
        <w:t>对土壤的影响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项目取土区域属于亚热带湿润型气候，气候温和，雨量充沛。土方开采所占用土地以荒地为主，地表变形以微小裂缝为主，有使土壤结构变松</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土壤侵蚀程度加重</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降低土地生产能力的现象，但不会改变土地利用性质；开采过后由于受地表土层吸收</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缓冲作用，地表裂缝等会重新变窄或闭合并逐渐趋于稳定。</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通过采取有效的生态保护措施后，取土作业对生态环境影响是可以接受的。</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弃渣场对生态环境影响分析</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本工程弃渣场对沿线生态影响主要为：对耕地的破坏和对植被的占压，由于工程沿线人类活动频繁，弃渣作业不会对野生动物产生明显影响。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为降低弃土对耕地的影响，弃土前应先将表层耕值土剥离并在弃渣场一侧堆放；弃土前需先挡后弃，建议在渣场面向主导风向一侧先修建土工布围挡，降低在弃渣过程中风力侵蚀；同时在弃渣时以填平洼地为标准，尽量不要将弃渣堆积过高，以降低风蚀对弃渣场的侵蚀。弃渣作业结束后，及时进行土地整治并回填表土，最后进行复耕和绿化。</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通过采取有效的生态保护措施后，弃渣作业对生态环境影响是可以接受的。</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商业购买砂石料对生态环境影响及其合理性分析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根据工可资料，本工程所需</w:t>
      </w:r>
      <w:r>
        <w:rPr>
          <w:rFonts w:hint="eastAsia" w:ascii="Times New Roman" w:hAnsi="Times New Roman" w:cs="Times New Roman"/>
          <w:b w:val="0"/>
          <w:bCs w:val="0"/>
          <w:sz w:val="24"/>
          <w:szCs w:val="24"/>
          <w:lang w:val="en-US" w:eastAsia="zh-CN" w:bidi="zh-CN"/>
        </w:rPr>
        <w:t>的</w:t>
      </w:r>
      <w:r>
        <w:rPr>
          <w:rFonts w:hint="default" w:ascii="Times New Roman" w:hAnsi="Times New Roman" w:cs="Times New Roman"/>
          <w:b w:val="0"/>
          <w:bCs w:val="0"/>
          <w:sz w:val="24"/>
          <w:szCs w:val="24"/>
          <w:lang w:val="en-US" w:eastAsia="zh-CN" w:bidi="zh-CN"/>
        </w:rPr>
        <w:t>砂石料均利用商业购买形式获取，未设置自采料场，在此仅提出相关环保要求</w:t>
      </w:r>
      <w:r>
        <w:rPr>
          <w:rFonts w:hint="eastAsia" w:ascii="Times New Roman" w:hAnsi="Times New Roman" w:cs="Times New Roman"/>
          <w:b w:val="0"/>
          <w:bCs w:val="0"/>
          <w:sz w:val="24"/>
          <w:szCs w:val="24"/>
          <w:lang w:val="en-US" w:eastAsia="zh-CN" w:bidi="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（1）为了更好落实料场的恢复责任，建设单位应向具有合法开采经营手续或营业证的商业料场进行购买。</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建设单位应在商业料场购买合同中明确砂石料场恢复责任以及恢复方式等问题。在使用结束后，应按照合同条款落实取料场的恢复措施。防止发生施工单位因向社会购料造成料场后期生态恢复措施无法落实。</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4.1.3.其他临时占地对生态环境影响及其合理性分析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施工场地</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本工程共设置2处施工场地，设置在大桥附近，为桥梁建设服务，预制场修建必将水泥浇灌硬化场地。本工程预制场位于路基范围内，对生态环境影响小。</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施工便道</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工程便道主要经过农业区，施工便道将不可避免会占用一些耕地和林地，侵占农作物和林木的生存空间，将会对农业和林业生态环境产生一定影响。为了降低其影响，要求施工便道尽量布设在工程永久征地范围内，充分利用现有省道</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县道，以及乡村</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田间已有地方道路进行改造，减少新建便道长度，尽量避免施工便道占压耕地。同时施工完毕后，要及时平整复耕或造林绿化恢复工作，减少其对生态环境和景观的影响。通过采取以上有效措施可以降低施工便道对生态环境的影响。</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3</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施工营地</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kern w:val="0"/>
          <w:sz w:val="24"/>
          <w:szCs w:val="24"/>
          <w:lang w:val="en-US" w:eastAsia="zh-CN" w:bidi="zh-CN"/>
        </w:rPr>
      </w:pPr>
      <w:r>
        <w:rPr>
          <w:rFonts w:hint="default" w:ascii="Times New Roman" w:hAnsi="Times New Roman" w:eastAsia="宋体" w:cs="Times New Roman"/>
          <w:b w:val="0"/>
          <w:bCs w:val="0"/>
          <w:kern w:val="0"/>
          <w:sz w:val="24"/>
          <w:szCs w:val="24"/>
          <w:lang w:val="en-US" w:eastAsia="zh-CN" w:bidi="zh-CN"/>
        </w:rPr>
        <w:t>本项目租用附近民房，不新增占地。</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4.1.4.对自然植被的影响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工程建设的施工活动对陆生植被的影响，主要表现为工程建设开挖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交通运输</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人员流动等对植被占压，对灌木层</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草本层的破坏较大。运输车辆产生的扬尘，施工过程挥洒的石灰和水泥，会对周围植物的生长带来直接的影响。这些尘土降落到植物的叶面上，会堵塞毛孔，影响植物的光合作用，从而使之生长减缓甚至死去。石灰和水泥若被雨水冲刷渗入地下，会导致土壤板结，影响植物根系对水分和矿物质的吸收。另外，原材料的堆放</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沥青和车辆漏油，还会污染土壤，从而间接影响植物的生长。新修线路占用土地，改变土地的原有自然结构，将影响沿线植被的生长活动和规律。</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项目占地及周边无保护林地，现有植被主要为常见的树木和草本植物，无需特别保护的物种。工程施工结束后，对占地区域进行绿化恢复，对植被生态的影响可以得到一定的缓解。</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4.1.5.对植物多样性的影响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本项目评价区内植物种类较少，物种多样性指数不高。项目占地两侧均为居民区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道路</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林地等，植被基本为人工植被及次生植被，人为干扰极大。施工对植被的影响多为对占地范围内生长的植物的影响，区域内无自然保护区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风景名胜区等。因此工程施工对植物多样性的影响相对较小。</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4.1.6.对野生动物的影响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由于拟建道路两侧多为村庄和农田，评价区受人类活动影响久远，已无大型动物活动，动物主要是昆虫</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鸟类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鼠</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兔等小型动物活动。因此项目实施过程中不会涉及珍稀野生动植物的迁移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保护问题。项目所区域内生物多样性程度低，没有国家和四川省重点保护及关注物种。因此本项目建设对野生动物影响较小。</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4.1.7.工程建设对林地影响分析</w:t>
      </w:r>
    </w:p>
    <w:p>
      <w:pPr>
        <w:numPr>
          <w:ilvl w:val="0"/>
          <w:numId w:val="0"/>
        </w:numPr>
        <w:adjustRightInd w:val="0"/>
        <w:snapToGrid w:val="0"/>
        <w:spacing w:line="360" w:lineRule="auto"/>
        <w:ind w:firstLine="480" w:firstLineChars="200"/>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本工程沿线村镇和低山丘陵区内分布有少量人工林，丘陵和山体中上部集中分布马尾松</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香樟</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白栎</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刺槐</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杉树</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柏树等混交林。工程建设将会对林地产生一定影响。施工前必须办理相关占压林地手续，为了降低公路建设对林木的影响，建议对于小龄树木进行移栽，严禁随意砍伐。考虑到泰林植被对生态环境的重要性，建议临时工程尽量不要占压天然林地，可利用公路永久占地和荒地，降低其对森林生态系统的影响。</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Style w:val="21"/>
          <w:rFonts w:hint="default" w:ascii="Times New Roman" w:hAnsi="Times New Roman" w:cs="Times New Roman"/>
          <w:b/>
          <w:bCs/>
          <w:sz w:val="24"/>
          <w:szCs w:val="24"/>
          <w:lang w:val="en-US" w:eastAsia="zh-CN"/>
        </w:rPr>
      </w:pPr>
      <w:r>
        <w:rPr>
          <w:rStyle w:val="21"/>
          <w:rFonts w:hint="default" w:ascii="Times New Roman" w:hAnsi="Times New Roman" w:cs="Times New Roman"/>
          <w:b/>
          <w:bCs/>
          <w:sz w:val="24"/>
          <w:szCs w:val="24"/>
          <w:lang w:val="en-US" w:eastAsia="zh-CN"/>
        </w:rPr>
        <w:t>4.1.8.对农业生态的影响</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本项目建设将占用少量的耕地，将对沿线农业生产产生一定影响，但本项目不占用基本农田，不会对区域农业生产产生太大影响；另一方面，本项目道路的建成运营有利于运输</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信息等方面发展，对区内农业生产有积极影响。</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Style w:val="21"/>
          <w:rFonts w:hint="default" w:ascii="Times New Roman" w:hAnsi="Times New Roman" w:cs="Times New Roman"/>
          <w:b/>
          <w:bCs/>
          <w:sz w:val="24"/>
          <w:szCs w:val="24"/>
          <w:lang w:val="en-US" w:eastAsia="zh-CN"/>
        </w:rPr>
      </w:pPr>
      <w:r>
        <w:rPr>
          <w:rStyle w:val="21"/>
          <w:rFonts w:hint="default" w:ascii="Times New Roman" w:hAnsi="Times New Roman" w:cs="Times New Roman"/>
          <w:b/>
          <w:bCs/>
          <w:sz w:val="24"/>
          <w:szCs w:val="24"/>
          <w:lang w:val="en-US" w:eastAsia="zh-CN"/>
        </w:rPr>
        <w:t>4.1.9.小结</w:t>
      </w:r>
    </w:p>
    <w:p>
      <w:pPr>
        <w:numPr>
          <w:ilvl w:val="0"/>
          <w:numId w:val="0"/>
        </w:numPr>
        <w:adjustRightInd w:val="0"/>
        <w:snapToGrid w:val="0"/>
        <w:spacing w:line="360" w:lineRule="auto"/>
        <w:ind w:firstLine="480" w:firstLineChars="200"/>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工程建设将会对沿线生态环境产生一定的不利影响，其影响行为主要表现于工程永久性占地和临时占地布设及其施工活动。由于本工程沿线主要为耕地，工程占地将会对农业生态系统带来一定影响。本工程沿线村镇和低山丘陵区内分布有少量人工林，丘陵和山体中上部集中分布针阔混交林，工程建设将会对林地产生一定影响。工程在实施过程中应该加强对沿线生态环境的保护， 尤其要注意温减小对沿线植被</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耕地的侵占和破坏，严格按照国家政策的规定做好征地后的土地调整与土地补偿工作，落实基本农田保护措施，办理相关占压林地手续并实施小龄苗木移栽，同时加强工程建设过程中的水土保持工程措施，在落实各项环境保护措施和生态恢复措施之后，工程建设对沿线生态环境的影响是可以接受的。</w:t>
      </w:r>
    </w:p>
    <w:p>
      <w:pPr>
        <w:pStyle w:val="4"/>
        <w:bidi w:val="0"/>
        <w:rPr>
          <w:rFonts w:hint="default"/>
          <w:lang w:val="en-US" w:eastAsia="zh-CN"/>
        </w:rPr>
      </w:pPr>
      <w:bookmarkStart w:id="102" w:name="_Toc9053"/>
      <w:r>
        <w:rPr>
          <w:rFonts w:hint="default"/>
          <w:lang w:val="en-US" w:eastAsia="zh-CN"/>
        </w:rPr>
        <w:t>4.2.水环境影响预测与评价</w:t>
      </w:r>
      <w:bookmarkEnd w:id="102"/>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Style w:val="21"/>
          <w:rFonts w:hint="default" w:ascii="Times New Roman" w:hAnsi="Times New Roman" w:cs="Times New Roman"/>
          <w:b/>
          <w:bCs/>
          <w:sz w:val="24"/>
          <w:szCs w:val="24"/>
          <w:lang w:val="en-US" w:eastAsia="zh-CN"/>
        </w:rPr>
      </w:pPr>
      <w:r>
        <w:rPr>
          <w:rStyle w:val="21"/>
          <w:rFonts w:hint="default" w:ascii="Times New Roman" w:hAnsi="Times New Roman" w:cs="Times New Roman"/>
          <w:b/>
          <w:bCs/>
          <w:sz w:val="24"/>
          <w:szCs w:val="24"/>
          <w:lang w:val="en-US" w:eastAsia="zh-CN"/>
        </w:rPr>
        <w:t xml:space="preserve">4.2.1施工期水环境影响分析     </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车辆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机械维修和清洗就近在渠县附近汽修厂进行，项目需对离场的施工车辆进行冲洗；桥梁施工；水泥混凝土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沥青混凝土从附近的搅拌站购买，项目施工不布置混凝土的搅拌场地。因此，本项目施工期产生的废水主要为离场车辆的冲洗废水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生活污水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桥梁施工废水。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（1）桥梁施工对水环境影响分析</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工程全线共设置桥梁2座。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钻孔桩施工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本项目桥梁不涉水施工，不会影响河流水质，主要影响为潜在污染；最大的潜在污染物是钻渣，即泥浆排放。其流程如下：</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snapToGrid w:val="0"/>
          <w:sz w:val="21"/>
          <w:szCs w:val="21"/>
          <w:highlight w:val="none"/>
        </w:rPr>
      </w:pPr>
      <w:r>
        <w:rPr>
          <w:rFonts w:hint="default" w:ascii="Times New Roman" w:hAnsi="Times New Roman" w:cs="Times New Roman"/>
          <w:b w:val="0"/>
          <w:bCs/>
          <w:szCs w:val="21"/>
        </w:rPr>
        <w:drawing>
          <wp:inline distT="0" distB="0" distL="114300" distR="114300">
            <wp:extent cx="4057650" cy="2819400"/>
            <wp:effectExtent l="0" t="0" r="0" b="0"/>
            <wp:docPr id="2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7"/>
                    <pic:cNvPicPr>
                      <a:picLocks noChangeAspect="1"/>
                    </pic:cNvPicPr>
                  </pic:nvPicPr>
                  <pic:blipFill>
                    <a:blip r:embed="rId31"/>
                    <a:stretch>
                      <a:fillRect/>
                    </a:stretch>
                  </pic:blipFill>
                  <pic:spPr>
                    <a:xfrm>
                      <a:off x="0" y="0"/>
                      <a:ext cx="4057650" cy="2819400"/>
                    </a:xfrm>
                    <a:prstGeom prst="rect">
                      <a:avLst/>
                    </a:prstGeom>
                    <a:noFill/>
                    <a:ln>
                      <a:noFill/>
                    </a:ln>
                  </pic:spPr>
                </pic:pic>
              </a:graphicData>
            </a:graphic>
          </wp:inline>
        </w:drawing>
      </w:r>
    </w:p>
    <w:p>
      <w:p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val="0"/>
          <w:snapToGrid w:val="0"/>
          <w:sz w:val="21"/>
          <w:szCs w:val="21"/>
          <w:highlight w:val="none"/>
          <w:lang w:val="en-US" w:eastAsia="zh-CN"/>
        </w:rPr>
      </w:pPr>
      <w:r>
        <w:rPr>
          <w:rFonts w:hint="default" w:ascii="Times New Roman" w:hAnsi="Times New Roman" w:eastAsia="宋体" w:cs="Times New Roman"/>
          <w:b/>
          <w:bCs w:val="0"/>
          <w:snapToGrid w:val="0"/>
          <w:sz w:val="21"/>
          <w:szCs w:val="21"/>
          <w:highlight w:val="none"/>
          <w:lang w:val="en-US" w:eastAsia="zh-CN"/>
        </w:rPr>
        <w:t>图4-1桥梁灌注桩钻渣收集处理流程</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钻孔灌注桩基础施工的钻孔泥浆一般由水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粘土和添加剂按适当配合比配置而成，灌桩出浆排至桥梁两端沉浆池内进行土石沉淀，沉淀后的泥浆循环使用，沉淀下来的土石即为钻渣，需定期清理。</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施工出渣若处置不当会造成施工下游河道淤塞及水质降低，因此必须及时将沉浆池内的钻渣运出河区，运至本工程弃渣场，并采取一定的防护措施。运送存放过程中必须有专人监管，不允许随意丢弃钻渣，以便最大限度的保护下游水体水质，防止钻渣堆弃对防洪的不利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桥梁下部结构施工对水体的影响只是暂时的，随着施工的结束，影响将逐步消失。为减轻桥梁下部结构施工尤其是基础施工应在枯水期完成。</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通过采取上述措施，桥梁下部结构施工对水环境质量影响较小。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2）桥梁上部结构施工对水体影响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本项目桥梁上部结构采用预制构件，由预制场运至施工现场进行组装，在严格的施工管理下，不会对沿线水体产生明显影响。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（2）施工机械及车辆冲洗废水</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现场不设置专门的维修点，依托施工场地周边汽车（设备）维修厂对机械设备进行集中维修和冲洗。因此，本项目产生的冲洗废水在运输车辆进出施工区域时产生，本工程冲洗废水量较小，主要污染因子为石油类和SS，针对冲洗废水水量小</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排放不连续且悬浮物浓度较高等特点，采用间歇式自然沉淀的方式去除易沉淀的砂粒。沉淀池内沉淀物主要是泥沙，应定期清运用于工程低洼地做回填料使用。</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（3）生活污水</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本项目施工期间，不设施工营地，施工人员租用附近民房解决住宿生活问题。施工人员生活污水中主要污染物有COD</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BOD5</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NH3-N</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SS等，施工人员利用附近公共厕所或居民厕所入厕，故施工人员生活污水利用既有的环保设施收集处理，无条件施工区域自建旱厕收集，吸污车清运至污水处理厂处置。</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val="0"/>
          <w:sz w:val="24"/>
          <w:szCs w:val="24"/>
          <w:lang w:val="en-US" w:eastAsia="zh-CN" w:bidi="zh-CN"/>
        </w:rPr>
        <w:t>项目施工期采取了上述防治措施后，产生的各项废水可得到有效控制，大部分废水均可实现回用不外排，部分外排废水也能够实现达标排放。对地表水环境影响较小。</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textAlignment w:val="auto"/>
        <w:outlineLvl w:val="2"/>
        <w:rPr>
          <w:rStyle w:val="21"/>
          <w:rFonts w:hint="default" w:ascii="Times New Roman" w:hAnsi="Times New Roman" w:cs="Times New Roman"/>
          <w:b/>
          <w:bCs/>
          <w:sz w:val="24"/>
          <w:szCs w:val="24"/>
          <w:lang w:val="en-US" w:eastAsia="zh-CN"/>
        </w:rPr>
      </w:pPr>
      <w:r>
        <w:rPr>
          <w:rStyle w:val="21"/>
          <w:rFonts w:hint="default" w:ascii="Times New Roman" w:hAnsi="Times New Roman" w:cs="Times New Roman"/>
          <w:b/>
          <w:bCs/>
          <w:sz w:val="24"/>
          <w:szCs w:val="24"/>
          <w:lang w:val="en-US" w:eastAsia="zh-CN"/>
        </w:rPr>
        <w:t xml:space="preserve">4.2.2.运营期水环境影响分析  </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本项目评价区内无饮用水源保护区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鱼类“三场”，道路建成营运后，随着交通量的逐年增加，在路面上的机动车尾气排放物</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汽车泄漏的油类以及散落在路面上的其他有害物质也会逐年增加。上述污染物一旦随降水径流进入水体，将对水体的水质产生一定影响。降雨冲刷路面产生的路面径流污水，主要污染物为悬浮物（SS）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石油类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有机物等。</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营运期路面径流在非事故状态下，基本可接近国家规定的排放标准，不会造成对环境的污染影响，但在汽车保养状况不良</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发生故障</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出现事故等时，都可能泄漏汽油和机油污染路面，在遇降雨后，雨水经道路雨水管道</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排水边沟流入附近的水域，造成石油类和COD的污染影响，应通过交通管理措施，避免类似事故发生。</w:t>
      </w:r>
    </w:p>
    <w:p>
      <w:pPr>
        <w:pStyle w:val="4"/>
        <w:bidi w:val="0"/>
        <w:rPr>
          <w:rFonts w:hint="default"/>
          <w:lang w:val="en-US" w:eastAsia="zh-CN"/>
        </w:rPr>
      </w:pPr>
      <w:bookmarkStart w:id="103" w:name="_Toc27381"/>
      <w:r>
        <w:rPr>
          <w:rFonts w:hint="default"/>
          <w:lang w:val="en-US" w:eastAsia="zh-CN"/>
        </w:rPr>
        <w:t>4.3.环境空气影响预测与评价</w:t>
      </w:r>
      <w:bookmarkEnd w:id="103"/>
    </w:p>
    <w:p>
      <w:pPr>
        <w:pStyle w:val="5"/>
        <w:keepNext w:val="0"/>
        <w:keepLines w:val="0"/>
        <w:pageBreakBefore w:val="0"/>
        <w:widowControl w:val="0"/>
        <w:kinsoku/>
        <w:wordWrap/>
        <w:overflowPunct/>
        <w:topLinePunct w:val="0"/>
        <w:autoSpaceDE w:val="0"/>
        <w:autoSpaceDN w:val="0"/>
        <w:bidi w:val="0"/>
        <w:adjustRightInd/>
        <w:snapToGrid/>
        <w:spacing w:line="360" w:lineRule="auto"/>
        <w:ind w:left="0" w:firstLine="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4.3.1.施工期空气环境影响分析 </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本项目施工期产生废气主要包括施工场地扬尘</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汽车运输道路扬尘</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施工车辆及机械尾气</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沥青烟。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（1）施工场地扬尘</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施工场地扬尘主要产生在清理表土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场地平整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路基开挖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路面施工等施工过程，本项目使用商品砼，不产生有组织扬尘；施工场地扬尘主要包括土石方开挖装卸扬尘及临时堆土场及路基等裸露地面产生二次扬尘。</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①土石方装卸扬尘</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本项目土石方装卸主要采用挖掘机挖装，自卸汽车运输</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卸土，此过程中装卸料将会产生一定量的粉尘。装卸起尘量的经验估算公式采用下式进行估算：</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Q=1133.33×U1.6×H1.23×e（-0.28W）</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式中：Q—装卸起尘量，mg/s；</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H—物料落差（m），该项目取1.0m；</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U—当地年平均风速（m/s），取1.0m/s；</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W—平均物料含水率（%），本次环评洒水前取3%，洒水后取6%；</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经计算，本项目施工期土石方装卸起尘量为1114.4mg/s，每天施工期间每天装车时间为4h，基础工程施工期为8个月，即240d，二次扬尘起尘量共计2.67t/施工期。本次评价要求提高装车效率以缩短每天的装车时间，并在装车时降低料斗高度，减小卸料落差，可减少粉尘的产生。另外，在施工期每天洒水4次，并配备12t洒水车1辆，同时应合理安排装卸作业时间，尽量避免在大风等恶劣天气进行，如需在大风时装卸料，必须加强洒水降尘，以有效抑制粉尘的排放量。且取土场与弃土场采取围挡作业，</w:t>
      </w:r>
      <w:r>
        <w:rPr>
          <w:rFonts w:hint="eastAsia" w:ascii="Times New Roman" w:hAnsi="Times New Roman" w:cs="Times New Roman"/>
          <w:b w:val="0"/>
          <w:bCs w:val="0"/>
          <w:sz w:val="24"/>
          <w:szCs w:val="24"/>
          <w:lang w:val="en-US" w:eastAsia="zh-CN" w:bidi="zh-CN"/>
        </w:rPr>
        <w:t>减少</w:t>
      </w:r>
      <w:r>
        <w:rPr>
          <w:rFonts w:hint="default" w:ascii="Times New Roman" w:hAnsi="Times New Roman" w:eastAsia="宋体" w:cs="Times New Roman"/>
          <w:b w:val="0"/>
          <w:bCs w:val="0"/>
          <w:sz w:val="24"/>
          <w:szCs w:val="24"/>
          <w:lang w:val="en-US" w:eastAsia="zh-CN" w:bidi="zh-CN"/>
        </w:rPr>
        <w:t>对周围居民影响。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②临时堆场及裸露地面二次扬尘</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在风季或刮大风的时候，临时堆土场及路基裸露地面将产生二次扬尘，采用洒水抑尘。二次扬尘采用下述公式进行计算：</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628775" cy="256540"/>
            <wp:effectExtent l="0" t="0" r="0" b="1143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7"/>
                    <a:stretch>
                      <a:fillRect/>
                    </a:stretch>
                  </pic:blipFill>
                  <pic:spPr>
                    <a:xfrm>
                      <a:off x="0" y="0"/>
                      <a:ext cx="1628775" cy="25654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式中：Q——起尘强度，mg/s；</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U——地面年平均风速m/s，1.1m/s；</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S——裸露场地表面积，m2；（裸露地表面积以占地面积的30%计，约4.7万m²）；</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W——地表含水率，%；本次环评洒水前取3%，洒水后取6%；</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经计算，此处起尘量为595.6mg/s，项目施工期约为13个月，起风时间预计4h/d，二次扬尘起尘量共计3.38t/施工期。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路基裸露地面采用洒水车洒水（每个施工区每天洒水4次），取土场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弃渣场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临时堆土场同时采用防尘布覆盖，采用洒水降尘。</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（2）汽车运输扬尘</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汽车运输扬尘主要是由运输车辆行驶产生，与道路路面及车辆行驶速度有关，在完全干燥情况下，按经验公式计算：</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2124075" cy="440690"/>
            <wp:effectExtent l="0" t="0" r="0" b="16510"/>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
                    <pic:cNvPicPr>
                      <a:picLocks noChangeAspect="1"/>
                    </pic:cNvPicPr>
                  </pic:nvPicPr>
                  <pic:blipFill>
                    <a:blip r:embed="rId28"/>
                    <a:stretch>
                      <a:fillRect/>
                    </a:stretch>
                  </pic:blipFill>
                  <pic:spPr>
                    <a:xfrm>
                      <a:off x="0" y="0"/>
                      <a:ext cx="2124075" cy="44069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048385" cy="387985"/>
            <wp:effectExtent l="0" t="0" r="18415" b="12700"/>
            <wp:docPr id="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1"/>
                    <pic:cNvPicPr>
                      <a:picLocks noChangeAspect="1"/>
                    </pic:cNvPicPr>
                  </pic:nvPicPr>
                  <pic:blipFill>
                    <a:blip r:embed="rId29"/>
                    <a:stretch>
                      <a:fillRect/>
                    </a:stretch>
                  </pic:blipFill>
                  <pic:spPr>
                    <a:xfrm>
                      <a:off x="0" y="0"/>
                      <a:ext cx="1048385" cy="38798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式中：Qy—交通运输起尘量，kg/km·辆；</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Qt—交通途中起尘量，kg；</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V—汽车速度，km/h，空车20km/h，载重后10km/h；</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P—路面状况，以每平方米路面灰尘覆盖率表示，kg/m2，本次环评洒水前取值0.15kg/m²，洒水后取值0.05kg/m²；</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M—车辆载重，t/辆，空车自重10t，载重后总重30t；</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L—运输距离，km；</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Q—运输量，t，本项目运输量约为70万t。</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由于土石方的产生点分布于整个路线，项目区内汽车的平均运距约1.0km，运输总量约70万t（场地内调运）。在不采取控制措施的情况下通过经验公式计算得，本项目施工期间汽车运输过程中扬尘的产生量为6.57t/施工期。通过场地洒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限速行驶</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出场冲洗车辆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运输车辆加盖篷布等措施，可有效减少交通运输扬尘排放量。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（3）施工机械及施工车辆尾气</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施工过程中产生的车辆及施工机械尾气主要含CO</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碳氢化合物</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NO2等污染物。本项目汽车运输和施工机具尾气主要对作业点周围和运输路线两侧局部范围产生影响。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（4）沥青烟气</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全线采用沥青混凝土路面，所有沥青混凝土均外购商品沥青混凝土，不进行现场搅拌，所有工程涉及的混凝土预制件均外购成品件，由厂家在混凝土预制厂内预制，不在现场设置混凝土搅拌站及预制场，购买的商品沥青混凝土通过保温车运输至施工现场进行路面铺设，沥青烟主要产生于沥青路面摊铺时的热油蒸发等，产生量较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根据《公路沥青路面施工技术规范》（JTGF40-2004），环评要求沥青面层连续施工，避免与可能污染沥青层的其他工序交叉干扰，以杜绝施工和运输污染。沥青路面施工过程中应做好施工人员的个人防护（如戴口罩</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施工人员站在上风向等），劝导无关施工人员和周围居民远离施工路段。项目直接购买成品沥青混凝土，严格控制操作温度，沥青面层施工产生的沥青烟经大气自然扩散后，不会对周边大气环境产生明显影响。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施工单位</w:t>
      </w:r>
      <w:r>
        <w:rPr>
          <w:rFonts w:hint="eastAsia" w:ascii="Times New Roman" w:hAnsi="Times New Roman" w:cs="Times New Roman"/>
          <w:b w:val="0"/>
          <w:bCs w:val="0"/>
          <w:sz w:val="24"/>
          <w:szCs w:val="24"/>
          <w:lang w:val="en-US" w:eastAsia="zh-CN" w:bidi="zh-CN"/>
        </w:rPr>
        <w:t>必须</w:t>
      </w:r>
      <w:r>
        <w:rPr>
          <w:rFonts w:hint="default" w:ascii="Times New Roman" w:hAnsi="Times New Roman" w:eastAsia="宋体" w:cs="Times New Roman"/>
          <w:b w:val="0"/>
          <w:bCs w:val="0"/>
          <w:sz w:val="24"/>
          <w:szCs w:val="24"/>
          <w:lang w:val="en-US" w:eastAsia="zh-CN" w:bidi="zh-CN"/>
        </w:rPr>
        <w:t>严格按照《四川省〈中华人民共和国大气污染防治法〉实施办法》中的相关要求加强施工场地扬尘的控制，全面督查建筑工地现场管理“六必须”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“六不准”的执行情况，即：必须打围作业</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必须硬化道路</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必须设置冲洗设施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必须湿法作业</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必须配齐保洁人员</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必须定时清扫施工现场；不准车辆带泥出门，不准运渣车辆冒顶装载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不准高空抛撒建渣</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不准现场搅拌混凝土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不准场地积水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不准现场焚烧废弃物。同时，严格按照《关于印发四川省建筑程扬尘污染防治技术导则（试行）的通知》川建发</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2019</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16号），做好施工现场扬尘防护工作，做好施工大气污染防治，严格落实“六个百分百”，包括：工地周边围挡</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物料堆放覆盖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出入车辆冲洗</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施工现场道路及材料堆场硬化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工地湿法作业及渣土车辆密闭运输。</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通过采取上述防治措施，将施工期产生的废气进行有效控制，类比同类型工程，本项目施工期土方开挖/土方回填阶段扬尘无组织排放最大处浓度预计在0.5mg/m³左右，其他工程阶段扬尘无组织排放最大处浓度预计在0.15mg/m³左右，均可满足《四川省施工场地扬尘排放标准》（DB51/2682-2020）中所在区域各施工阶段排放限值要求。不会对大气环境产生太大影响。</w:t>
      </w:r>
    </w:p>
    <w:p>
      <w:pPr>
        <w:pStyle w:val="5"/>
        <w:keepNext w:val="0"/>
        <w:keepLines w:val="0"/>
        <w:pageBreakBefore w:val="0"/>
        <w:widowControl w:val="0"/>
        <w:kinsoku/>
        <w:wordWrap/>
        <w:overflowPunct/>
        <w:topLinePunct w:val="0"/>
        <w:autoSpaceDE w:val="0"/>
        <w:autoSpaceDN w:val="0"/>
        <w:bidi w:val="0"/>
        <w:adjustRightInd/>
        <w:snapToGrid/>
        <w:spacing w:line="360" w:lineRule="auto"/>
        <w:ind w:left="0" w:firstLine="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sz w:val="24"/>
          <w:szCs w:val="24"/>
          <w:lang w:val="en-US" w:eastAsia="zh-CN"/>
        </w:rPr>
        <w:t xml:space="preserve">4.3.1.运营期空气环境影响分析 </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本项目营运期大气污染物主要来自于汽车尾气</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交通道路扬尘，其主要污染物为NOx和TSP。项目不设置养护站</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服务区等集中式排放源。</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汽车尾气：目前，对于道路项目而言，最有效的方法是加强其自身的绿化，采用一些具有良好空气净化作用的植物作为两侧的绿化带以吸收尾气，保护区域环境空气质量。此外，由于对环保的重视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技术进步和清洁能源的广泛应用，未来机动车车辆单车污染排放量将可能大大降低。本项目沿线环境空气质量现状良好，大气环境容量较大，汽车尾气的影响不会改变区域环境质量级别，其影响是有限的。</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道路扬尘：本项目道路路面为沥青砼路面，营运期间道路本身产生的扬尘较小，扬尘主要来自上路的汽车所带进的泥土；另外大气中沉降在路面上的尘粒也占一定比重。目前减少道路扬尘的措施主要包括：</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（1）加强道路两侧绿化工程；</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（2）控制车速；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（3）悬挂环保标识牌。</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通过上述措施可以有效地降低营运期间路面扬尘的发生。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综上所述，本项目沿线环境空气质量现状良好，周边空旷有利于大气扩散，汽车尾气和扬尘的影响不大，能达到《环境空气质量标准》（GB3095-2012）二级标准。</w:t>
      </w:r>
    </w:p>
    <w:p>
      <w:pPr>
        <w:pStyle w:val="4"/>
        <w:bidi w:val="0"/>
        <w:rPr>
          <w:rFonts w:hint="default"/>
          <w:lang w:eastAsia="zh-CN"/>
        </w:rPr>
      </w:pPr>
      <w:bookmarkStart w:id="104" w:name="_Toc7736"/>
      <w:r>
        <w:rPr>
          <w:rFonts w:hint="default"/>
          <w:lang w:val="en-US" w:eastAsia="zh-CN"/>
        </w:rPr>
        <w:t>4</w:t>
      </w:r>
      <w:r>
        <w:rPr>
          <w:rFonts w:hint="default"/>
          <w:lang w:eastAsia="zh-CN"/>
        </w:rPr>
        <w:t>.</w:t>
      </w:r>
      <w:r>
        <w:rPr>
          <w:rFonts w:hint="default"/>
          <w:lang w:val="en-US" w:eastAsia="zh-CN"/>
        </w:rPr>
        <w:t>4.</w:t>
      </w:r>
      <w:r>
        <w:rPr>
          <w:rFonts w:hint="default"/>
          <w:lang w:eastAsia="zh-CN"/>
        </w:rPr>
        <w:t>声环境影响</w:t>
      </w:r>
      <w:r>
        <w:rPr>
          <w:rFonts w:hint="default"/>
          <w:lang w:val="en-US" w:eastAsia="zh-CN"/>
        </w:rPr>
        <w:t>预测与评价</w:t>
      </w:r>
      <w:bookmarkEnd w:id="104"/>
    </w:p>
    <w:p>
      <w:pPr>
        <w:pStyle w:val="5"/>
        <w:keepNext w:val="0"/>
        <w:keepLines w:val="0"/>
        <w:pageBreakBefore w:val="0"/>
        <w:widowControl w:val="0"/>
        <w:kinsoku/>
        <w:wordWrap/>
        <w:overflowPunct/>
        <w:topLinePunct w:val="0"/>
        <w:autoSpaceDE w:val="0"/>
        <w:autoSpaceDN w:val="0"/>
        <w:bidi w:val="0"/>
        <w:adjustRightInd/>
        <w:snapToGrid/>
        <w:spacing w:line="360" w:lineRule="auto"/>
        <w:ind w:left="0" w:firstLine="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sz w:val="24"/>
          <w:szCs w:val="24"/>
          <w:lang w:val="en-US" w:eastAsia="zh-CN"/>
        </w:rPr>
        <w:t xml:space="preserve">4.4.1.施工期声环境影响分析 </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工程施工阶段的主要噪声来自于施工过程中施工机械和运输车辆辐射的噪声，具有高噪声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无规律的特点，它对外环境的影响是暂时的，随施工结束而消失。但由于在施工过程中采用的机械设备噪声值很高，如不加以控制，会对附近的居民生活产生较大的影响。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本项目主要施工机械及施工车辆产生的噪声污染源强见下表。</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表4.4-1 </w:t>
      </w:r>
      <w:r>
        <w:rPr>
          <w:rFonts w:hint="default" w:ascii="Times New Roman" w:hAnsi="Times New Roman" w:eastAsia="宋体" w:cs="Times New Roman"/>
          <w:b/>
          <w:bCs w:val="0"/>
          <w:kern w:val="0"/>
          <w:sz w:val="21"/>
          <w:szCs w:val="21"/>
        </w:rPr>
        <w:t>本项目施工主要机械源强</w:t>
      </w:r>
    </w:p>
    <w:tbl>
      <w:tblPr>
        <w:tblStyle w:val="17"/>
        <w:tblW w:w="475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Layout w:type="fixed"/>
        <w:tblCellMar>
          <w:top w:w="0" w:type="dxa"/>
          <w:left w:w="108" w:type="dxa"/>
          <w:bottom w:w="0" w:type="dxa"/>
          <w:right w:w="108" w:type="dxa"/>
        </w:tblCellMar>
      </w:tblPr>
      <w:tblGrid>
        <w:gridCol w:w="1980"/>
        <w:gridCol w:w="1343"/>
        <w:gridCol w:w="1222"/>
        <w:gridCol w:w="3311"/>
        <w:gridCol w:w="138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机械类型</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数量</w:t>
            </w:r>
          </w:p>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（台/套）</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合成声级dB(A)</w:t>
            </w:r>
          </w:p>
        </w:tc>
        <w:tc>
          <w:tcPr>
            <w:tcW w:w="17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治理措施</w:t>
            </w: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治理后声级dB(A)</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挖掘机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kern w:val="0"/>
                <w:sz w:val="21"/>
                <w:szCs w:val="21"/>
                <w:lang w:val="en-US" w:eastAsia="zh-CN"/>
              </w:rPr>
              <w:t>8</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86</w:t>
            </w:r>
          </w:p>
        </w:tc>
        <w:tc>
          <w:tcPr>
            <w:tcW w:w="179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合理布局</w:t>
            </w:r>
            <w:r>
              <w:rPr>
                <w:rFonts w:hint="eastAsia" w:ascii="Times New Roman" w:hAnsi="Times New Roman" w:cs="Times New Roman"/>
                <w:b w:val="0"/>
                <w:bCs/>
                <w:kern w:val="0"/>
                <w:sz w:val="21"/>
                <w:szCs w:val="21"/>
                <w:lang w:eastAsia="zh-CN"/>
              </w:rPr>
              <w:t>、</w:t>
            </w:r>
            <w:r>
              <w:rPr>
                <w:rFonts w:hint="default" w:ascii="Times New Roman" w:hAnsi="Times New Roman" w:cs="Times New Roman"/>
                <w:b w:val="0"/>
                <w:bCs/>
                <w:kern w:val="0"/>
                <w:sz w:val="21"/>
                <w:szCs w:val="21"/>
              </w:rPr>
              <w:t>低噪设备</w:t>
            </w:r>
            <w:r>
              <w:rPr>
                <w:rFonts w:hint="eastAsia" w:ascii="Times New Roman" w:hAnsi="Times New Roman" w:cs="Times New Roman"/>
                <w:b w:val="0"/>
                <w:bCs/>
                <w:kern w:val="0"/>
                <w:sz w:val="21"/>
                <w:szCs w:val="21"/>
                <w:lang w:eastAsia="zh-CN"/>
              </w:rPr>
              <w:t>、</w:t>
            </w:r>
            <w:r>
              <w:rPr>
                <w:rFonts w:hint="default" w:ascii="Times New Roman" w:hAnsi="Times New Roman" w:cs="Times New Roman"/>
                <w:b w:val="0"/>
                <w:bCs/>
                <w:kern w:val="0"/>
                <w:sz w:val="21"/>
                <w:szCs w:val="21"/>
              </w:rPr>
              <w:t>加强日常维护和保养</w:t>
            </w:r>
            <w:r>
              <w:rPr>
                <w:rFonts w:hint="eastAsia" w:ascii="Times New Roman" w:hAnsi="Times New Roman" w:cs="Times New Roman"/>
                <w:b w:val="0"/>
                <w:bCs/>
                <w:kern w:val="0"/>
                <w:sz w:val="21"/>
                <w:szCs w:val="21"/>
                <w:lang w:eastAsia="zh-CN"/>
              </w:rPr>
              <w:t>、</w:t>
            </w:r>
            <w:r>
              <w:rPr>
                <w:rFonts w:hint="default" w:ascii="Times New Roman" w:hAnsi="Times New Roman" w:cs="Times New Roman"/>
                <w:b w:val="0"/>
                <w:bCs/>
                <w:kern w:val="0"/>
                <w:sz w:val="21"/>
                <w:szCs w:val="21"/>
              </w:rPr>
              <w:t>合理安排作业时间</w:t>
            </w: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81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推土机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val="en-US" w:eastAsia="zh-CN"/>
              </w:rPr>
              <w:t>6</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84</w:t>
            </w:r>
          </w:p>
        </w:tc>
        <w:tc>
          <w:tcPr>
            <w:tcW w:w="17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b w:val="0"/>
                <w:bCs/>
                <w:kern w:val="0"/>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79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装载机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12</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83</w:t>
            </w:r>
          </w:p>
        </w:tc>
        <w:tc>
          <w:tcPr>
            <w:tcW w:w="17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b w:val="0"/>
                <w:bCs/>
                <w:kern w:val="0"/>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78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平地机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4</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80</w:t>
            </w:r>
          </w:p>
        </w:tc>
        <w:tc>
          <w:tcPr>
            <w:tcW w:w="17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75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摊铺机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val="en-US" w:eastAsia="zh-CN"/>
              </w:rPr>
              <w:t>4</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83</w:t>
            </w:r>
          </w:p>
        </w:tc>
        <w:tc>
          <w:tcPr>
            <w:tcW w:w="17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b w:val="0"/>
                <w:bCs/>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78</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压路机</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8</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80</w:t>
            </w:r>
          </w:p>
        </w:tc>
        <w:tc>
          <w:tcPr>
            <w:tcW w:w="17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b w:val="0"/>
                <w:bCs/>
                <w:sz w:val="21"/>
                <w:szCs w:val="21"/>
              </w:rPr>
            </w:pP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75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发电机组</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val="en-US" w:eastAsia="zh-CN"/>
              </w:rPr>
              <w:t>5</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82</w:t>
            </w:r>
          </w:p>
        </w:tc>
        <w:tc>
          <w:tcPr>
            <w:tcW w:w="17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选用低噪设备，停电时使用</w:t>
            </w:r>
          </w:p>
        </w:tc>
        <w:tc>
          <w:tcPr>
            <w:tcW w:w="7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75</w:t>
            </w:r>
          </w:p>
        </w:tc>
      </w:tr>
    </w:tbl>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bookmarkStart w:id="105" w:name="_Toc26800"/>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（1）施工期噪声预测方法及模式</w:t>
      </w:r>
      <w:bookmarkEnd w:id="105"/>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鉴于施工噪声的复杂性及其影响的区域性和阶段性，本环评针对不同施工阶段计算出不同施工设备的噪声污染范围，以便施工单位在施工时结合实际情况采取适当的噪声污染防治措施。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施工噪声可近似视为点声源处理，根据点声源噪声衰减模式，估算出离声源不同距离处的噪声值，预测模式如下：</w:t>
      </w:r>
    </w:p>
    <w:p>
      <w:pPr>
        <w:spacing w:line="360" w:lineRule="auto"/>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pacing w:val="5"/>
          <w:position w:val="-30"/>
          <w:szCs w:val="21"/>
        </w:rPr>
        <w:drawing>
          <wp:inline distT="0" distB="0" distL="114300" distR="114300">
            <wp:extent cx="1733550" cy="525145"/>
            <wp:effectExtent l="0" t="0" r="0" b="7620"/>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
                    <pic:cNvPicPr>
                      <a:picLocks noChangeAspect="1"/>
                    </pic:cNvPicPr>
                  </pic:nvPicPr>
                  <pic:blipFill>
                    <a:blip r:embed="rId32"/>
                    <a:stretch>
                      <a:fillRect/>
                    </a:stretch>
                  </pic:blipFill>
                  <pic:spPr>
                    <a:xfrm>
                      <a:off x="0" y="0"/>
                      <a:ext cx="1733550" cy="52514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式中：Li——距声源Ri米处的施工噪声预测值，dB（A）；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Lo——距声源R0米处的施工噪声级，dB（A）；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△L——障碍物</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植被</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空气等产生的附加衰减量。</w:t>
      </w:r>
    </w:p>
    <w:p>
      <w:pPr>
        <w:autoSpaceDE w:val="0"/>
        <w:autoSpaceDN w:val="0"/>
        <w:adjustRightInd w:val="0"/>
        <w:snapToGrid w:val="0"/>
        <w:spacing w:line="360" w:lineRule="auto"/>
        <w:ind w:firstLine="480" w:firstLineChars="200"/>
        <w:rPr>
          <w:rFonts w:hint="default" w:ascii="Times New Roman" w:hAnsi="Times New Roman" w:cs="Times New Roman"/>
          <w:b w:val="0"/>
          <w:bCs/>
          <w:snapToGrid w:val="0"/>
          <w:sz w:val="21"/>
          <w:szCs w:val="21"/>
        </w:rPr>
      </w:pPr>
      <w:r>
        <w:rPr>
          <w:rFonts w:hint="default" w:ascii="Times New Roman" w:hAnsi="Times New Roman" w:eastAsia="宋体" w:cs="Times New Roman"/>
          <w:b w:val="0"/>
          <w:bCs w:val="0"/>
          <w:sz w:val="24"/>
          <w:szCs w:val="24"/>
          <w:lang w:val="en-US" w:eastAsia="zh-CN" w:bidi="zh-CN"/>
        </w:rPr>
        <w:t>对于多台施工机械同时作业时对某个预测点的影响，按下式进行声级叠加：</w:t>
      </w:r>
    </w:p>
    <w:p>
      <w:pPr>
        <w:spacing w:line="360" w:lineRule="auto"/>
        <w:jc w:val="center"/>
        <w:rPr>
          <w:rFonts w:hint="default" w:ascii="Times New Roman" w:hAnsi="Times New Roman" w:cs="Times New Roman"/>
          <w:b w:val="0"/>
          <w:bCs/>
          <w:szCs w:val="21"/>
        </w:rPr>
      </w:pPr>
      <w:r>
        <w:rPr>
          <w:rFonts w:hint="default" w:ascii="Times New Roman" w:hAnsi="Times New Roman" w:cs="Times New Roman"/>
          <w:b w:val="0"/>
          <w:bCs/>
          <w:position w:val="-28"/>
          <w:szCs w:val="21"/>
        </w:rPr>
        <w:drawing>
          <wp:inline distT="0" distB="0" distL="114300" distR="114300">
            <wp:extent cx="1497965" cy="543560"/>
            <wp:effectExtent l="0" t="0" r="0" b="7620"/>
            <wp:docPr id="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
                    <pic:cNvPicPr>
                      <a:picLocks noChangeAspect="1"/>
                    </pic:cNvPicPr>
                  </pic:nvPicPr>
                  <pic:blipFill>
                    <a:blip r:embed="rId33"/>
                    <a:stretch>
                      <a:fillRect/>
                    </a:stretch>
                  </pic:blipFill>
                  <pic:spPr>
                    <a:xfrm>
                      <a:off x="0" y="0"/>
                      <a:ext cx="1497965" cy="54356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bookmarkStart w:id="106" w:name="_Toc10595"/>
      <w:r>
        <w:rPr>
          <w:rFonts w:hint="default" w:ascii="Times New Roman" w:hAnsi="Times New Roman" w:eastAsia="宋体" w:cs="Times New Roman"/>
          <w:b w:val="0"/>
          <w:bCs w:val="0"/>
          <w:sz w:val="24"/>
          <w:szCs w:val="24"/>
          <w:lang w:val="en-US" w:eastAsia="zh-CN" w:bidi="zh-CN"/>
        </w:rPr>
        <w:t>（2）施工期噪声影响范围及影响分析</w:t>
      </w:r>
      <w:bookmarkEnd w:id="106"/>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根据前述的预测方法和预测模式，对施工过程中各种设备噪声影响范围进行计算，该项目主要施工机械的噪声源强见下表。</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表4.4-2 </w:t>
      </w:r>
      <w:r>
        <w:rPr>
          <w:rFonts w:hint="default" w:ascii="Times New Roman" w:hAnsi="Times New Roman" w:eastAsia="宋体" w:cs="Times New Roman"/>
          <w:b/>
          <w:bCs w:val="0"/>
          <w:kern w:val="0"/>
          <w:sz w:val="21"/>
          <w:szCs w:val="21"/>
        </w:rPr>
        <w:t xml:space="preserve">主要施工机械不同距离处的噪声级    </w:t>
      </w:r>
      <w:r>
        <w:rPr>
          <w:rFonts w:hint="eastAsia" w:ascii="Times New Roman" w:hAnsi="Times New Roman" w:cs="Times New Roman"/>
          <w:b/>
          <w:bCs w:val="0"/>
          <w:kern w:val="0"/>
          <w:sz w:val="21"/>
          <w:szCs w:val="21"/>
          <w:lang w:val="en-US" w:eastAsia="zh-CN"/>
        </w:rPr>
        <w:t xml:space="preserve">       </w:t>
      </w:r>
      <w:r>
        <w:rPr>
          <w:rFonts w:hint="default" w:ascii="Times New Roman" w:hAnsi="Times New Roman" w:eastAsia="宋体" w:cs="Times New Roman"/>
          <w:b/>
          <w:bCs w:val="0"/>
          <w:kern w:val="0"/>
          <w:sz w:val="21"/>
          <w:szCs w:val="21"/>
        </w:rPr>
        <w:t xml:space="preserve">  单位：dB(A)</w:t>
      </w:r>
    </w:p>
    <w:tbl>
      <w:tblPr>
        <w:tblStyle w:val="17"/>
        <w:tblW w:w="475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Layout w:type="fixed"/>
        <w:tblCellMar>
          <w:top w:w="0" w:type="dxa"/>
          <w:left w:w="108" w:type="dxa"/>
          <w:bottom w:w="0" w:type="dxa"/>
          <w:right w:w="108" w:type="dxa"/>
        </w:tblCellMar>
      </w:tblPr>
      <w:tblGrid>
        <w:gridCol w:w="1952"/>
        <w:gridCol w:w="694"/>
        <w:gridCol w:w="803"/>
        <w:gridCol w:w="749"/>
        <w:gridCol w:w="766"/>
        <w:gridCol w:w="749"/>
        <w:gridCol w:w="766"/>
        <w:gridCol w:w="950"/>
        <w:gridCol w:w="913"/>
        <w:gridCol w:w="901"/>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105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机械类型</w:t>
            </w:r>
          </w:p>
        </w:tc>
        <w:tc>
          <w:tcPr>
            <w:tcW w:w="37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5m</w:t>
            </w:r>
          </w:p>
        </w:tc>
        <w:tc>
          <w:tcPr>
            <w:tcW w:w="43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10m</w:t>
            </w:r>
          </w:p>
        </w:tc>
        <w:tc>
          <w:tcPr>
            <w:tcW w:w="40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20m</w:t>
            </w:r>
          </w:p>
        </w:tc>
        <w:tc>
          <w:tcPr>
            <w:tcW w:w="41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40m</w:t>
            </w:r>
          </w:p>
        </w:tc>
        <w:tc>
          <w:tcPr>
            <w:tcW w:w="40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60m</w:t>
            </w:r>
          </w:p>
        </w:tc>
        <w:tc>
          <w:tcPr>
            <w:tcW w:w="41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80m</w:t>
            </w:r>
          </w:p>
        </w:tc>
        <w:tc>
          <w:tcPr>
            <w:tcW w:w="513"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100m</w:t>
            </w:r>
          </w:p>
        </w:tc>
        <w:tc>
          <w:tcPr>
            <w:tcW w:w="49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150m</w:t>
            </w:r>
          </w:p>
        </w:tc>
        <w:tc>
          <w:tcPr>
            <w:tcW w:w="48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200m</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PrEx>
        <w:trPr>
          <w:jc w:val="center"/>
        </w:trPr>
        <w:tc>
          <w:tcPr>
            <w:tcW w:w="105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挖掘机</w:t>
            </w:r>
          </w:p>
        </w:tc>
        <w:tc>
          <w:tcPr>
            <w:tcW w:w="375"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67</w:t>
            </w:r>
          </w:p>
        </w:tc>
        <w:tc>
          <w:tcPr>
            <w:tcW w:w="434"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61</w:t>
            </w:r>
          </w:p>
        </w:tc>
        <w:tc>
          <w:tcPr>
            <w:tcW w:w="405"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55</w:t>
            </w:r>
          </w:p>
        </w:tc>
        <w:tc>
          <w:tcPr>
            <w:tcW w:w="414"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49</w:t>
            </w:r>
          </w:p>
        </w:tc>
        <w:tc>
          <w:tcPr>
            <w:tcW w:w="405"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45</w:t>
            </w:r>
          </w:p>
        </w:tc>
        <w:tc>
          <w:tcPr>
            <w:tcW w:w="414"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43</w:t>
            </w:r>
          </w:p>
        </w:tc>
        <w:tc>
          <w:tcPr>
            <w:tcW w:w="513"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41</w:t>
            </w:r>
          </w:p>
        </w:tc>
        <w:tc>
          <w:tcPr>
            <w:tcW w:w="494"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37</w:t>
            </w:r>
          </w:p>
        </w:tc>
        <w:tc>
          <w:tcPr>
            <w:tcW w:w="487"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35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1055" w:type="pct"/>
            <w:tcBorders>
              <w:tl2br w:val="nil"/>
              <w:tr2bl w:val="nil"/>
            </w:tcBorders>
            <w:noWrap w:val="0"/>
            <w:vAlign w:val="center"/>
          </w:tcPr>
          <w:p>
            <w:pPr>
              <w:autoSpaceDE w:val="0"/>
              <w:autoSpaceDN w:val="0"/>
              <w:jc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推土机</w:t>
            </w:r>
          </w:p>
        </w:tc>
        <w:tc>
          <w:tcPr>
            <w:tcW w:w="375" w:type="pct"/>
            <w:tcBorders>
              <w:tl2br w:val="nil"/>
              <w:tr2bl w:val="nil"/>
            </w:tcBorders>
            <w:noWrap w:val="0"/>
            <w:vAlign w:val="center"/>
          </w:tcPr>
          <w:p>
            <w:pPr>
              <w:autoSpaceDE w:val="0"/>
              <w:autoSpaceDN w:val="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65</w:t>
            </w:r>
          </w:p>
        </w:tc>
        <w:tc>
          <w:tcPr>
            <w:tcW w:w="434" w:type="pct"/>
            <w:tcBorders>
              <w:tl2br w:val="nil"/>
              <w:tr2bl w:val="nil"/>
            </w:tcBorders>
            <w:noWrap w:val="0"/>
            <w:vAlign w:val="center"/>
          </w:tcPr>
          <w:p>
            <w:pPr>
              <w:autoSpaceDE w:val="0"/>
              <w:autoSpaceDN w:val="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59</w:t>
            </w:r>
          </w:p>
        </w:tc>
        <w:tc>
          <w:tcPr>
            <w:tcW w:w="405" w:type="pct"/>
            <w:tcBorders>
              <w:tl2br w:val="nil"/>
              <w:tr2bl w:val="nil"/>
            </w:tcBorders>
            <w:noWrap w:val="0"/>
            <w:vAlign w:val="center"/>
          </w:tcPr>
          <w:p>
            <w:pPr>
              <w:autoSpaceDE w:val="0"/>
              <w:autoSpaceDN w:val="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53</w:t>
            </w:r>
          </w:p>
        </w:tc>
        <w:tc>
          <w:tcPr>
            <w:tcW w:w="414" w:type="pct"/>
            <w:tcBorders>
              <w:tl2br w:val="nil"/>
              <w:tr2bl w:val="nil"/>
            </w:tcBorders>
            <w:noWrap w:val="0"/>
            <w:vAlign w:val="center"/>
          </w:tcPr>
          <w:p>
            <w:pPr>
              <w:autoSpaceDE w:val="0"/>
              <w:autoSpaceDN w:val="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47</w:t>
            </w:r>
          </w:p>
        </w:tc>
        <w:tc>
          <w:tcPr>
            <w:tcW w:w="405" w:type="pct"/>
            <w:tcBorders>
              <w:tl2br w:val="nil"/>
              <w:tr2bl w:val="nil"/>
            </w:tcBorders>
            <w:noWrap w:val="0"/>
            <w:vAlign w:val="center"/>
          </w:tcPr>
          <w:p>
            <w:pPr>
              <w:autoSpaceDE w:val="0"/>
              <w:autoSpaceDN w:val="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43</w:t>
            </w:r>
          </w:p>
        </w:tc>
        <w:tc>
          <w:tcPr>
            <w:tcW w:w="414" w:type="pct"/>
            <w:tcBorders>
              <w:tl2br w:val="nil"/>
              <w:tr2bl w:val="nil"/>
            </w:tcBorders>
            <w:noWrap w:val="0"/>
            <w:vAlign w:val="center"/>
          </w:tcPr>
          <w:p>
            <w:pPr>
              <w:autoSpaceDE w:val="0"/>
              <w:autoSpaceDN w:val="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41</w:t>
            </w:r>
          </w:p>
        </w:tc>
        <w:tc>
          <w:tcPr>
            <w:tcW w:w="513" w:type="pct"/>
            <w:tcBorders>
              <w:tl2br w:val="nil"/>
              <w:tr2bl w:val="nil"/>
            </w:tcBorders>
            <w:noWrap w:val="0"/>
            <w:vAlign w:val="center"/>
          </w:tcPr>
          <w:p>
            <w:pPr>
              <w:autoSpaceDE w:val="0"/>
              <w:autoSpaceDN w:val="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39</w:t>
            </w:r>
          </w:p>
        </w:tc>
        <w:tc>
          <w:tcPr>
            <w:tcW w:w="494" w:type="pct"/>
            <w:tcBorders>
              <w:tl2br w:val="nil"/>
              <w:tr2bl w:val="nil"/>
            </w:tcBorders>
            <w:noWrap w:val="0"/>
            <w:vAlign w:val="center"/>
          </w:tcPr>
          <w:p>
            <w:pPr>
              <w:autoSpaceDE w:val="0"/>
              <w:autoSpaceDN w:val="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35</w:t>
            </w:r>
          </w:p>
        </w:tc>
        <w:tc>
          <w:tcPr>
            <w:tcW w:w="487" w:type="pct"/>
            <w:tcBorders>
              <w:tl2br w:val="nil"/>
              <w:tr2bl w:val="nil"/>
            </w:tcBorders>
            <w:noWrap w:val="0"/>
            <w:vAlign w:val="center"/>
          </w:tcPr>
          <w:p>
            <w:pPr>
              <w:autoSpaceDE w:val="0"/>
              <w:autoSpaceDN w:val="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33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105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装载机</w:t>
            </w:r>
          </w:p>
        </w:tc>
        <w:tc>
          <w:tcPr>
            <w:tcW w:w="37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64</w:t>
            </w:r>
          </w:p>
        </w:tc>
        <w:tc>
          <w:tcPr>
            <w:tcW w:w="43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58</w:t>
            </w:r>
          </w:p>
        </w:tc>
        <w:tc>
          <w:tcPr>
            <w:tcW w:w="40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52</w:t>
            </w:r>
          </w:p>
        </w:tc>
        <w:tc>
          <w:tcPr>
            <w:tcW w:w="41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46</w:t>
            </w:r>
          </w:p>
        </w:tc>
        <w:tc>
          <w:tcPr>
            <w:tcW w:w="40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42</w:t>
            </w:r>
          </w:p>
        </w:tc>
        <w:tc>
          <w:tcPr>
            <w:tcW w:w="41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w:t>
            </w:r>
          </w:p>
        </w:tc>
        <w:tc>
          <w:tcPr>
            <w:tcW w:w="513"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38</w:t>
            </w:r>
          </w:p>
        </w:tc>
        <w:tc>
          <w:tcPr>
            <w:tcW w:w="49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34</w:t>
            </w:r>
          </w:p>
        </w:tc>
        <w:tc>
          <w:tcPr>
            <w:tcW w:w="48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105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平地机</w:t>
            </w:r>
          </w:p>
        </w:tc>
        <w:tc>
          <w:tcPr>
            <w:tcW w:w="37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61</w:t>
            </w:r>
          </w:p>
        </w:tc>
        <w:tc>
          <w:tcPr>
            <w:tcW w:w="43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55</w:t>
            </w:r>
          </w:p>
        </w:tc>
        <w:tc>
          <w:tcPr>
            <w:tcW w:w="405"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49</w:t>
            </w:r>
          </w:p>
        </w:tc>
        <w:tc>
          <w:tcPr>
            <w:tcW w:w="41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43</w:t>
            </w:r>
          </w:p>
        </w:tc>
        <w:tc>
          <w:tcPr>
            <w:tcW w:w="405"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39</w:t>
            </w:r>
          </w:p>
        </w:tc>
        <w:tc>
          <w:tcPr>
            <w:tcW w:w="41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37</w:t>
            </w:r>
          </w:p>
        </w:tc>
        <w:tc>
          <w:tcPr>
            <w:tcW w:w="513"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35</w:t>
            </w:r>
          </w:p>
        </w:tc>
        <w:tc>
          <w:tcPr>
            <w:tcW w:w="49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31</w:t>
            </w:r>
          </w:p>
        </w:tc>
        <w:tc>
          <w:tcPr>
            <w:tcW w:w="487"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1055" w:type="pct"/>
            <w:tcBorders>
              <w:tl2br w:val="nil"/>
              <w:tr2bl w:val="nil"/>
            </w:tcBorders>
            <w:noWrap w:val="0"/>
            <w:vAlign w:val="center"/>
          </w:tcPr>
          <w:p>
            <w:pPr>
              <w:autoSpaceDE w:val="0"/>
              <w:autoSpaceDN w:val="0"/>
              <w:jc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摊铺机</w:t>
            </w:r>
          </w:p>
        </w:tc>
        <w:tc>
          <w:tcPr>
            <w:tcW w:w="37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64</w:t>
            </w:r>
          </w:p>
        </w:tc>
        <w:tc>
          <w:tcPr>
            <w:tcW w:w="43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58</w:t>
            </w:r>
          </w:p>
        </w:tc>
        <w:tc>
          <w:tcPr>
            <w:tcW w:w="405"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52</w:t>
            </w:r>
          </w:p>
        </w:tc>
        <w:tc>
          <w:tcPr>
            <w:tcW w:w="41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46</w:t>
            </w:r>
          </w:p>
        </w:tc>
        <w:tc>
          <w:tcPr>
            <w:tcW w:w="405"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42</w:t>
            </w:r>
          </w:p>
        </w:tc>
        <w:tc>
          <w:tcPr>
            <w:tcW w:w="41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w:t>
            </w:r>
          </w:p>
        </w:tc>
        <w:tc>
          <w:tcPr>
            <w:tcW w:w="513"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38</w:t>
            </w:r>
          </w:p>
        </w:tc>
        <w:tc>
          <w:tcPr>
            <w:tcW w:w="49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34</w:t>
            </w:r>
          </w:p>
        </w:tc>
        <w:tc>
          <w:tcPr>
            <w:tcW w:w="487"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105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rPr>
              <w:t>压路机</w:t>
            </w:r>
          </w:p>
        </w:tc>
        <w:tc>
          <w:tcPr>
            <w:tcW w:w="37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61</w:t>
            </w:r>
          </w:p>
        </w:tc>
        <w:tc>
          <w:tcPr>
            <w:tcW w:w="43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55</w:t>
            </w:r>
          </w:p>
        </w:tc>
        <w:tc>
          <w:tcPr>
            <w:tcW w:w="405"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49</w:t>
            </w:r>
          </w:p>
        </w:tc>
        <w:tc>
          <w:tcPr>
            <w:tcW w:w="41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43</w:t>
            </w:r>
          </w:p>
        </w:tc>
        <w:tc>
          <w:tcPr>
            <w:tcW w:w="405"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39</w:t>
            </w:r>
          </w:p>
        </w:tc>
        <w:tc>
          <w:tcPr>
            <w:tcW w:w="41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37</w:t>
            </w:r>
          </w:p>
        </w:tc>
        <w:tc>
          <w:tcPr>
            <w:tcW w:w="513"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35</w:t>
            </w:r>
          </w:p>
        </w:tc>
        <w:tc>
          <w:tcPr>
            <w:tcW w:w="49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31</w:t>
            </w:r>
          </w:p>
        </w:tc>
        <w:tc>
          <w:tcPr>
            <w:tcW w:w="487"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1055" w:type="pc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空压机</w:t>
            </w:r>
          </w:p>
        </w:tc>
        <w:tc>
          <w:tcPr>
            <w:tcW w:w="37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64</w:t>
            </w:r>
          </w:p>
        </w:tc>
        <w:tc>
          <w:tcPr>
            <w:tcW w:w="43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58</w:t>
            </w:r>
          </w:p>
        </w:tc>
        <w:tc>
          <w:tcPr>
            <w:tcW w:w="405"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52</w:t>
            </w:r>
          </w:p>
        </w:tc>
        <w:tc>
          <w:tcPr>
            <w:tcW w:w="41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46</w:t>
            </w:r>
          </w:p>
        </w:tc>
        <w:tc>
          <w:tcPr>
            <w:tcW w:w="405"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42</w:t>
            </w:r>
          </w:p>
        </w:tc>
        <w:tc>
          <w:tcPr>
            <w:tcW w:w="41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w:t>
            </w:r>
          </w:p>
        </w:tc>
        <w:tc>
          <w:tcPr>
            <w:tcW w:w="513"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38</w:t>
            </w:r>
          </w:p>
        </w:tc>
        <w:tc>
          <w:tcPr>
            <w:tcW w:w="494"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34</w:t>
            </w:r>
          </w:p>
        </w:tc>
        <w:tc>
          <w:tcPr>
            <w:tcW w:w="487" w:type="pct"/>
            <w:tcBorders>
              <w:tl2br w:val="nil"/>
              <w:tr2bl w:val="nil"/>
            </w:tcBorders>
            <w:noWrap w:val="0"/>
            <w:vAlign w:val="top"/>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32</w:t>
            </w:r>
          </w:p>
        </w:tc>
      </w:tr>
    </w:tbl>
    <w:p>
      <w:pPr>
        <w:spacing w:line="360" w:lineRule="auto"/>
        <w:ind w:firstLine="420" w:firstLineChars="200"/>
        <w:rPr>
          <w:rFonts w:hint="default" w:ascii="Times New Roman" w:hAnsi="Times New Roman" w:eastAsia="宋体" w:cs="Times New Roman"/>
          <w:b w:val="0"/>
          <w:bCs/>
          <w:sz w:val="21"/>
          <w:szCs w:val="21"/>
          <w:lang w:val="en-US" w:eastAsia="zh-CN"/>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本项目主要施工机械设备通过采取减振</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选用低噪声设备等降噪措施后，其场界噪声能达到《建筑施工场界噪声排放标准》（GB12523-2011）中相关要求。</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bookmarkStart w:id="107" w:name="_Toc5063"/>
      <w:r>
        <w:rPr>
          <w:rFonts w:hint="default" w:ascii="Times New Roman" w:hAnsi="Times New Roman" w:eastAsia="宋体" w:cs="Times New Roman"/>
          <w:b w:val="0"/>
          <w:bCs w:val="0"/>
          <w:sz w:val="24"/>
          <w:szCs w:val="24"/>
          <w:lang w:val="en-US" w:eastAsia="zh-CN" w:bidi="zh-CN"/>
        </w:rPr>
        <w:t>（3）施工期声环境敏感目标预测结果</w:t>
      </w:r>
      <w:bookmarkEnd w:id="107"/>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根据本项目附近声环境敏感目标的分布情况，结合现状监测的背景值和本工程的贡献值，计算施工期本项目对声环境敏感目标的预测结果见下表</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本项目夜间不施工</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highlight w:val="none"/>
        </w:rPr>
      </w:pPr>
      <w:r>
        <w:rPr>
          <w:rFonts w:hint="eastAsia" w:ascii="Times New Roman" w:hAnsi="Times New Roman" w:cs="Times New Roman"/>
          <w:b/>
          <w:bCs w:val="0"/>
          <w:kern w:val="0"/>
          <w:sz w:val="21"/>
          <w:szCs w:val="21"/>
          <w:highlight w:val="none"/>
          <w:lang w:val="en-US" w:eastAsia="zh-CN"/>
        </w:rPr>
        <w:t xml:space="preserve">表4.4-3 </w:t>
      </w:r>
      <w:r>
        <w:rPr>
          <w:rFonts w:hint="default" w:ascii="Times New Roman" w:hAnsi="Times New Roman" w:eastAsia="宋体" w:cs="Times New Roman"/>
          <w:b/>
          <w:bCs w:val="0"/>
          <w:kern w:val="0"/>
          <w:sz w:val="21"/>
          <w:szCs w:val="21"/>
          <w:highlight w:val="none"/>
        </w:rPr>
        <w:t xml:space="preserve">施工期本项目对声环境敏感目标的预测结果  </w:t>
      </w:r>
      <w:r>
        <w:rPr>
          <w:rFonts w:hint="eastAsia" w:ascii="Times New Roman" w:hAnsi="Times New Roman" w:cs="Times New Roman"/>
          <w:b/>
          <w:bCs w:val="0"/>
          <w:kern w:val="0"/>
          <w:sz w:val="21"/>
          <w:szCs w:val="21"/>
          <w:highlight w:val="none"/>
          <w:lang w:val="en-US" w:eastAsia="zh-CN"/>
        </w:rPr>
        <w:t xml:space="preserve">   </w:t>
      </w:r>
      <w:r>
        <w:rPr>
          <w:rFonts w:hint="default" w:ascii="Times New Roman" w:hAnsi="Times New Roman" w:eastAsia="宋体" w:cs="Times New Roman"/>
          <w:b/>
          <w:bCs w:val="0"/>
          <w:kern w:val="0"/>
          <w:sz w:val="21"/>
          <w:szCs w:val="21"/>
          <w:highlight w:val="none"/>
        </w:rPr>
        <w:t>单位：dB（A）</w:t>
      </w:r>
    </w:p>
    <w:tbl>
      <w:tblPr>
        <w:tblStyle w:val="17"/>
        <w:tblW w:w="475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Layout w:type="fixed"/>
        <w:tblCellMar>
          <w:top w:w="0" w:type="dxa"/>
          <w:left w:w="108" w:type="dxa"/>
          <w:bottom w:w="0" w:type="dxa"/>
          <w:right w:w="108" w:type="dxa"/>
        </w:tblCellMar>
      </w:tblPr>
      <w:tblGrid>
        <w:gridCol w:w="2593"/>
        <w:gridCol w:w="913"/>
        <w:gridCol w:w="915"/>
        <w:gridCol w:w="913"/>
        <w:gridCol w:w="915"/>
        <w:gridCol w:w="913"/>
        <w:gridCol w:w="915"/>
        <w:gridCol w:w="116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2196" w:type="dxa"/>
            <w:tcBorders>
              <w:tl2br w:val="nil"/>
              <w:tr2bl w:val="nil"/>
            </w:tcBorders>
            <w:noWrap w:val="0"/>
            <w:vAlign w:val="center"/>
          </w:tcPr>
          <w:p>
            <w:pPr>
              <w:jc w:val="center"/>
              <w:rPr>
                <w:rFonts w:hint="default" w:ascii="Times New Roman" w:hAnsi="Times New Roman" w:eastAsia="宋体" w:cs="Times New Roman"/>
                <w:b w:val="0"/>
                <w:bCs/>
                <w:snapToGrid w:val="0"/>
                <w:kern w:val="0"/>
                <w:sz w:val="21"/>
                <w:szCs w:val="21"/>
                <w:highlight w:val="none"/>
                <w:lang w:eastAsia="zh-CN"/>
              </w:rPr>
            </w:pPr>
            <w:r>
              <w:rPr>
                <w:rFonts w:hint="default" w:ascii="Times New Roman" w:hAnsi="Times New Roman" w:cs="Times New Roman"/>
                <w:b w:val="0"/>
                <w:bCs/>
                <w:snapToGrid w:val="0"/>
                <w:kern w:val="0"/>
                <w:sz w:val="21"/>
                <w:szCs w:val="21"/>
                <w:highlight w:val="none"/>
              </w:rPr>
              <w:t>敏感目标</w:t>
            </w:r>
            <w:r>
              <w:rPr>
                <w:rFonts w:hint="default" w:ascii="Times New Roman" w:hAnsi="Times New Roman" w:cs="Times New Roman"/>
                <w:b w:val="0"/>
                <w:bCs/>
                <w:snapToGrid w:val="0"/>
                <w:kern w:val="0"/>
                <w:sz w:val="21"/>
                <w:szCs w:val="21"/>
                <w:highlight w:val="none"/>
                <w:lang w:val="en-US" w:eastAsia="zh-CN"/>
              </w:rPr>
              <w:t>/</w:t>
            </w:r>
            <w:r>
              <w:rPr>
                <w:rFonts w:hint="default" w:ascii="Times New Roman" w:hAnsi="Times New Roman" w:cs="Times New Roman"/>
                <w:b w:val="0"/>
                <w:bCs/>
                <w:snapToGrid w:val="0"/>
                <w:kern w:val="0"/>
                <w:sz w:val="21"/>
                <w:szCs w:val="21"/>
                <w:highlight w:val="none"/>
                <w:lang w:eastAsia="zh-CN"/>
              </w:rPr>
              <w:t>方位关系</w:t>
            </w:r>
          </w:p>
        </w:tc>
        <w:tc>
          <w:tcPr>
            <w:tcW w:w="766"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距离场界（m）</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时段</w:t>
            </w:r>
          </w:p>
        </w:tc>
        <w:tc>
          <w:tcPr>
            <w:tcW w:w="766"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贡献值</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背景值</w:t>
            </w:r>
          </w:p>
        </w:tc>
        <w:tc>
          <w:tcPr>
            <w:tcW w:w="766"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预测值</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标准值</w:t>
            </w:r>
          </w:p>
        </w:tc>
        <w:tc>
          <w:tcPr>
            <w:tcW w:w="982"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达标情况</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189" w:hRule="atLeast"/>
          <w:jc w:val="center"/>
        </w:trPr>
        <w:tc>
          <w:tcPr>
            <w:tcW w:w="219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napToGrid w:val="0"/>
                <w:kern w:val="0"/>
                <w:sz w:val="21"/>
                <w:szCs w:val="21"/>
                <w:highlight w:val="none"/>
                <w:lang w:eastAsia="zh-CN"/>
              </w:rPr>
            </w:pPr>
            <w:r>
              <w:rPr>
                <w:rFonts w:hint="default" w:ascii="Times New Roman" w:hAnsi="Times New Roman" w:eastAsia="宋体" w:cs="Times New Roman"/>
                <w:b w:val="0"/>
                <w:bCs/>
                <w:sz w:val="21"/>
                <w:szCs w:val="21"/>
                <w:lang w:val="en-US" w:eastAsia="zh-CN"/>
              </w:rPr>
              <w:t>项目西侧约30m处</w:t>
            </w:r>
            <w:r>
              <w:rPr>
                <w:rFonts w:hint="default" w:ascii="Times New Roman" w:hAnsi="Times New Roman" w:cs="Times New Roman"/>
                <w:b w:val="0"/>
                <w:bCs/>
                <w:sz w:val="21"/>
                <w:szCs w:val="21"/>
                <w:lang w:val="en-US" w:eastAsia="zh-CN"/>
              </w:rPr>
              <w:t>临巴</w:t>
            </w:r>
            <w:r>
              <w:rPr>
                <w:rFonts w:hint="default" w:ascii="Times New Roman" w:hAnsi="Times New Roman" w:eastAsia="宋体" w:cs="Times New Roman"/>
                <w:b w:val="0"/>
                <w:bCs/>
                <w:sz w:val="21"/>
                <w:szCs w:val="21"/>
                <w:lang w:val="en-US" w:eastAsia="zh-CN"/>
              </w:rPr>
              <w:t>镇居民面向拟建道路一侧1层住户窗外1m处</w:t>
            </w:r>
          </w:p>
        </w:tc>
        <w:tc>
          <w:tcPr>
            <w:tcW w:w="76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z w:val="21"/>
                <w:szCs w:val="21"/>
                <w:highlight w:val="none"/>
                <w:lang w:val="en-US" w:eastAsia="zh-CN"/>
              </w:rPr>
              <w:t>30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55</w:t>
            </w:r>
          </w:p>
        </w:tc>
        <w:tc>
          <w:tcPr>
            <w:tcW w:w="767" w:type="dxa"/>
            <w:tcBorders>
              <w:tl2br w:val="nil"/>
              <w:tr2bl w:val="nil"/>
            </w:tcBorders>
            <w:noWrap w:val="0"/>
            <w:vAlign w:val="center"/>
          </w:tcPr>
          <w:p>
            <w:pPr>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53</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57.12</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219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napToGrid w:val="0"/>
                <w:kern w:val="0"/>
                <w:sz w:val="21"/>
                <w:szCs w:val="21"/>
                <w:highlight w:val="none"/>
                <w:lang w:eastAsia="zh-CN"/>
              </w:rPr>
            </w:pPr>
            <w:r>
              <w:rPr>
                <w:rFonts w:hint="default" w:ascii="Times New Roman" w:hAnsi="Times New Roman" w:eastAsia="宋体" w:cs="Times New Roman"/>
                <w:b w:val="0"/>
                <w:bCs/>
                <w:sz w:val="21"/>
                <w:szCs w:val="21"/>
                <w:lang w:val="en-US" w:eastAsia="zh-CN"/>
              </w:rPr>
              <w:t>项目西侧约30m处</w:t>
            </w:r>
            <w:r>
              <w:rPr>
                <w:rFonts w:hint="default" w:ascii="Times New Roman" w:hAnsi="Times New Roman" w:cs="Times New Roman"/>
                <w:b w:val="0"/>
                <w:bCs/>
                <w:sz w:val="21"/>
                <w:szCs w:val="21"/>
                <w:lang w:val="en-US" w:eastAsia="zh-CN"/>
              </w:rPr>
              <w:t>临巴</w:t>
            </w:r>
            <w:r>
              <w:rPr>
                <w:rFonts w:hint="default" w:ascii="Times New Roman" w:hAnsi="Times New Roman" w:eastAsia="宋体" w:cs="Times New Roman"/>
                <w:b w:val="0"/>
                <w:bCs/>
                <w:sz w:val="21"/>
                <w:szCs w:val="21"/>
                <w:lang w:val="en-US" w:eastAsia="zh-CN"/>
              </w:rPr>
              <w:t>镇居民面向拟建道路一侧3层住户窗外1m处</w:t>
            </w:r>
          </w:p>
        </w:tc>
        <w:tc>
          <w:tcPr>
            <w:tcW w:w="76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z w:val="21"/>
                <w:szCs w:val="21"/>
                <w:highlight w:val="none"/>
                <w:lang w:val="en-US" w:eastAsia="zh-CN"/>
              </w:rPr>
              <w:t>30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55</w:t>
            </w:r>
          </w:p>
        </w:tc>
        <w:tc>
          <w:tcPr>
            <w:tcW w:w="767" w:type="dxa"/>
            <w:tcBorders>
              <w:tl2br w:val="nil"/>
              <w:tr2bl w:val="nil"/>
            </w:tcBorders>
            <w:noWrap w:val="0"/>
            <w:vAlign w:val="center"/>
          </w:tcPr>
          <w:p>
            <w:pPr>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55</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58.01</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219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napToGrid w:val="0"/>
                <w:kern w:val="0"/>
                <w:sz w:val="21"/>
                <w:szCs w:val="21"/>
                <w:highlight w:val="none"/>
                <w:lang w:eastAsia="zh-CN"/>
              </w:rPr>
            </w:pPr>
            <w:r>
              <w:rPr>
                <w:rFonts w:hint="default" w:ascii="Times New Roman" w:hAnsi="Times New Roman" w:eastAsia="宋体" w:cs="Times New Roman"/>
                <w:b w:val="0"/>
                <w:bCs/>
                <w:sz w:val="21"/>
                <w:szCs w:val="21"/>
                <w:lang w:val="en-US" w:eastAsia="zh-CN"/>
              </w:rPr>
              <w:t>项目西侧约30m处</w:t>
            </w:r>
            <w:r>
              <w:rPr>
                <w:rFonts w:hint="default" w:ascii="Times New Roman" w:hAnsi="Times New Roman" w:cs="Times New Roman"/>
                <w:b w:val="0"/>
                <w:bCs/>
                <w:sz w:val="21"/>
                <w:szCs w:val="21"/>
                <w:lang w:val="en-US" w:eastAsia="zh-CN"/>
              </w:rPr>
              <w:t>临巴</w:t>
            </w:r>
            <w:r>
              <w:rPr>
                <w:rFonts w:hint="default" w:ascii="Times New Roman" w:hAnsi="Times New Roman" w:eastAsia="宋体" w:cs="Times New Roman"/>
                <w:b w:val="0"/>
                <w:bCs/>
                <w:sz w:val="21"/>
                <w:szCs w:val="21"/>
                <w:lang w:val="en-US" w:eastAsia="zh-CN"/>
              </w:rPr>
              <w:t>镇居民面向拟建道路一侧5层住户窗外1m处</w:t>
            </w:r>
          </w:p>
        </w:tc>
        <w:tc>
          <w:tcPr>
            <w:tcW w:w="76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z w:val="21"/>
                <w:szCs w:val="21"/>
                <w:highlight w:val="none"/>
                <w:lang w:val="en-US" w:eastAsia="zh-CN"/>
              </w:rPr>
              <w:t>30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55</w:t>
            </w:r>
          </w:p>
        </w:tc>
        <w:tc>
          <w:tcPr>
            <w:tcW w:w="767" w:type="dxa"/>
            <w:tcBorders>
              <w:tl2br w:val="nil"/>
              <w:tr2bl w:val="nil"/>
            </w:tcBorders>
            <w:noWrap w:val="0"/>
            <w:vAlign w:val="center"/>
          </w:tcPr>
          <w:p>
            <w:pPr>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58</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59.76</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219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napToGrid w:val="0"/>
                <w:kern w:val="0"/>
                <w:sz w:val="21"/>
                <w:szCs w:val="21"/>
                <w:highlight w:val="none"/>
                <w:lang w:eastAsia="zh-CN"/>
              </w:rPr>
            </w:pPr>
            <w:r>
              <w:rPr>
                <w:rFonts w:hint="default" w:ascii="Times New Roman" w:hAnsi="Times New Roman" w:eastAsia="宋体" w:cs="Times New Roman"/>
                <w:b w:val="0"/>
                <w:bCs/>
                <w:sz w:val="21"/>
                <w:szCs w:val="21"/>
                <w:lang w:val="en-US" w:eastAsia="zh-CN"/>
              </w:rPr>
              <w:t>项目东侧约10m处</w:t>
            </w:r>
            <w:r>
              <w:rPr>
                <w:rFonts w:hint="default" w:ascii="Times New Roman" w:hAnsi="Times New Roman" w:cs="Times New Roman"/>
                <w:b w:val="0"/>
                <w:bCs/>
                <w:sz w:val="21"/>
                <w:szCs w:val="21"/>
                <w:lang w:val="en-US" w:eastAsia="zh-CN"/>
              </w:rPr>
              <w:t>临巴</w:t>
            </w:r>
            <w:r>
              <w:rPr>
                <w:rFonts w:hint="default" w:ascii="Times New Roman" w:hAnsi="Times New Roman" w:eastAsia="宋体" w:cs="Times New Roman"/>
                <w:b w:val="0"/>
                <w:bCs/>
                <w:sz w:val="21"/>
                <w:szCs w:val="21"/>
                <w:lang w:val="en-US" w:eastAsia="zh-CN"/>
              </w:rPr>
              <w:t>镇居民面向拟建道路一侧1层住户窗外1m处</w:t>
            </w:r>
          </w:p>
        </w:tc>
        <w:tc>
          <w:tcPr>
            <w:tcW w:w="76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z w:val="21"/>
                <w:szCs w:val="21"/>
                <w:highlight w:val="none"/>
                <w:lang w:val="en-US" w:eastAsia="zh-CN"/>
              </w:rPr>
              <w:t>10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65</w:t>
            </w:r>
          </w:p>
        </w:tc>
        <w:tc>
          <w:tcPr>
            <w:tcW w:w="767" w:type="dxa"/>
            <w:tcBorders>
              <w:tl2br w:val="nil"/>
              <w:tr2bl w:val="nil"/>
            </w:tcBorders>
            <w:noWrap w:val="0"/>
            <w:vAlign w:val="center"/>
          </w:tcPr>
          <w:p>
            <w:pPr>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57</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65.64</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219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napToGrid w:val="0"/>
                <w:kern w:val="0"/>
                <w:sz w:val="21"/>
                <w:szCs w:val="21"/>
                <w:highlight w:val="none"/>
                <w:lang w:eastAsia="zh-CN"/>
              </w:rPr>
            </w:pPr>
            <w:r>
              <w:rPr>
                <w:rFonts w:hint="default" w:ascii="Times New Roman" w:hAnsi="Times New Roman" w:eastAsia="宋体" w:cs="Times New Roman"/>
                <w:b w:val="0"/>
                <w:bCs/>
                <w:sz w:val="21"/>
                <w:szCs w:val="21"/>
                <w:lang w:val="en-US" w:eastAsia="zh-CN"/>
              </w:rPr>
              <w:t>项目东侧约10m处</w:t>
            </w:r>
            <w:r>
              <w:rPr>
                <w:rFonts w:hint="default" w:ascii="Times New Roman" w:hAnsi="Times New Roman" w:cs="Times New Roman"/>
                <w:b w:val="0"/>
                <w:bCs/>
                <w:sz w:val="21"/>
                <w:szCs w:val="21"/>
                <w:lang w:val="en-US" w:eastAsia="zh-CN"/>
              </w:rPr>
              <w:t>临巴</w:t>
            </w:r>
            <w:r>
              <w:rPr>
                <w:rFonts w:hint="default" w:ascii="Times New Roman" w:hAnsi="Times New Roman" w:eastAsia="宋体" w:cs="Times New Roman"/>
                <w:b w:val="0"/>
                <w:bCs/>
                <w:sz w:val="21"/>
                <w:szCs w:val="21"/>
                <w:lang w:val="en-US" w:eastAsia="zh-CN"/>
              </w:rPr>
              <w:t>镇居民面向拟建道路一侧3层住户窗外1m处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z w:val="21"/>
                <w:szCs w:val="21"/>
                <w:highlight w:val="none"/>
                <w:lang w:val="en-US" w:eastAsia="zh-CN"/>
              </w:rPr>
              <w:t>10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65</w:t>
            </w:r>
          </w:p>
        </w:tc>
        <w:tc>
          <w:tcPr>
            <w:tcW w:w="767" w:type="dxa"/>
            <w:tcBorders>
              <w:tl2br w:val="nil"/>
              <w:tr2bl w:val="nil"/>
            </w:tcBorders>
            <w:noWrap w:val="0"/>
            <w:vAlign w:val="center"/>
          </w:tcPr>
          <w:p>
            <w:pPr>
              <w:jc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57</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65.64</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lang w:val="en-US"/>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264" w:hRule="atLeast"/>
          <w:jc w:val="center"/>
        </w:trPr>
        <w:tc>
          <w:tcPr>
            <w:tcW w:w="2196" w:type="dxa"/>
            <w:tcBorders>
              <w:tl2br w:val="nil"/>
              <w:tr2bl w:val="nil"/>
            </w:tcBorders>
            <w:noWrap w:val="0"/>
            <w:vAlign w:val="center"/>
          </w:tcPr>
          <w:p>
            <w:pPr>
              <w:adjustRightInd w:val="0"/>
              <w:snapToGrid w:val="0"/>
              <w:jc w:val="center"/>
              <w:rPr>
                <w:rFonts w:hint="default" w:ascii="Times New Roman" w:hAnsi="Times New Roman" w:cs="Times New Roman"/>
                <w:b w:val="0"/>
                <w:bCs/>
                <w:snapToGrid w:val="0"/>
                <w:kern w:val="0"/>
                <w:sz w:val="21"/>
                <w:szCs w:val="21"/>
                <w:highlight w:val="none"/>
              </w:rPr>
            </w:pPr>
            <w:r>
              <w:rPr>
                <w:rFonts w:hint="default" w:ascii="Times New Roman" w:hAnsi="Times New Roman" w:eastAsia="宋体" w:cs="Times New Roman"/>
                <w:b w:val="0"/>
                <w:bCs/>
                <w:sz w:val="21"/>
                <w:szCs w:val="21"/>
                <w:lang w:val="en-US" w:eastAsia="zh-CN"/>
              </w:rPr>
              <w:t>项目东侧约40m处散户居民面向拟建道路一侧高1.2m处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z w:val="21"/>
                <w:szCs w:val="21"/>
                <w:highlight w:val="none"/>
                <w:lang w:val="en-US" w:eastAsia="zh-CN"/>
              </w:rPr>
              <w:t>40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52</w:t>
            </w:r>
          </w:p>
        </w:tc>
        <w:tc>
          <w:tcPr>
            <w:tcW w:w="767" w:type="dxa"/>
            <w:tcBorders>
              <w:tl2br w:val="nil"/>
              <w:tr2bl w:val="nil"/>
            </w:tcBorders>
            <w:noWrap w:val="0"/>
            <w:vAlign w:val="center"/>
          </w:tcPr>
          <w:p>
            <w:pPr>
              <w:jc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color w:val="auto"/>
                <w:sz w:val="21"/>
                <w:szCs w:val="21"/>
                <w:lang w:val="en-US" w:eastAsia="zh-CN"/>
              </w:rPr>
              <w:t>53</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55.54</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264" w:hRule="atLeast"/>
          <w:jc w:val="center"/>
        </w:trPr>
        <w:tc>
          <w:tcPr>
            <w:tcW w:w="2196" w:type="dxa"/>
            <w:tcBorders>
              <w:tl2br w:val="nil"/>
              <w:tr2bl w:val="nil"/>
            </w:tcBorders>
            <w:noWrap w:val="0"/>
            <w:vAlign w:val="center"/>
          </w:tcPr>
          <w:p>
            <w:pPr>
              <w:adjustRightInd w:val="0"/>
              <w:snapToGrid w:val="0"/>
              <w:jc w:val="center"/>
              <w:rPr>
                <w:rFonts w:hint="default" w:ascii="Times New Roman" w:hAnsi="Times New Roman" w:cs="Times New Roman"/>
                <w:b/>
                <w:bCs w:val="0"/>
                <w:snapToGrid w:val="0"/>
                <w:color w:val="auto"/>
                <w:kern w:val="0"/>
                <w:sz w:val="21"/>
                <w:szCs w:val="21"/>
                <w:highlight w:val="none"/>
              </w:rPr>
            </w:pPr>
            <w:r>
              <w:rPr>
                <w:rFonts w:hint="default" w:ascii="Times New Roman" w:hAnsi="Times New Roman" w:eastAsia="宋体" w:cs="Times New Roman"/>
                <w:b/>
                <w:bCs w:val="0"/>
                <w:color w:val="auto"/>
                <w:sz w:val="21"/>
                <w:szCs w:val="21"/>
                <w:lang w:val="en-US" w:eastAsia="zh-CN"/>
              </w:rPr>
              <w:t>项目西侧约2m党群服务中心面向拟建道路一侧高1.2m处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bCs w:val="0"/>
                <w:snapToGrid w:val="0"/>
                <w:color w:val="auto"/>
                <w:kern w:val="0"/>
                <w:sz w:val="21"/>
                <w:szCs w:val="21"/>
                <w:highlight w:val="none"/>
              </w:rPr>
            </w:pPr>
            <w:r>
              <w:rPr>
                <w:rFonts w:hint="default" w:ascii="Times New Roman" w:hAnsi="Times New Roman" w:cs="Times New Roman"/>
                <w:b/>
                <w:bCs w:val="0"/>
                <w:color w:val="auto"/>
                <w:sz w:val="21"/>
                <w:szCs w:val="21"/>
                <w:highlight w:val="none"/>
                <w:lang w:val="en-US" w:eastAsia="zh-CN"/>
              </w:rPr>
              <w:t>2</w:t>
            </w:r>
          </w:p>
        </w:tc>
        <w:tc>
          <w:tcPr>
            <w:tcW w:w="767" w:type="dxa"/>
            <w:tcBorders>
              <w:tl2br w:val="nil"/>
              <w:tr2bl w:val="nil"/>
            </w:tcBorders>
            <w:noWrap w:val="0"/>
            <w:vAlign w:val="center"/>
          </w:tcPr>
          <w:p>
            <w:pPr>
              <w:jc w:val="center"/>
              <w:rPr>
                <w:rFonts w:hint="default" w:ascii="Times New Roman" w:hAnsi="Times New Roman" w:cs="Times New Roman"/>
                <w:b/>
                <w:bCs w:val="0"/>
                <w:snapToGrid w:val="0"/>
                <w:color w:val="auto"/>
                <w:kern w:val="0"/>
                <w:sz w:val="21"/>
                <w:szCs w:val="21"/>
                <w:highlight w:val="none"/>
              </w:rPr>
            </w:pPr>
            <w:r>
              <w:rPr>
                <w:rFonts w:hint="default" w:ascii="Times New Roman" w:hAnsi="Times New Roman" w:cs="Times New Roman"/>
                <w:b/>
                <w:bCs w:val="0"/>
                <w:snapToGrid w:val="0"/>
                <w:color w:val="auto"/>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val="0"/>
                <w:i w:val="0"/>
                <w:iCs w:val="0"/>
                <w:color w:val="auto"/>
                <w:kern w:val="0"/>
                <w:sz w:val="21"/>
                <w:szCs w:val="21"/>
                <w:highlight w:val="none"/>
                <w:u w:val="none"/>
                <w:lang w:val="en-US" w:eastAsia="zh-CN" w:bidi="ar"/>
              </w:rPr>
            </w:pPr>
            <w:r>
              <w:rPr>
                <w:rFonts w:hint="default" w:ascii="Times New Roman" w:hAnsi="Times New Roman" w:cs="Times New Roman"/>
                <w:b/>
                <w:bCs w:val="0"/>
                <w:i w:val="0"/>
                <w:iCs w:val="0"/>
                <w:color w:val="auto"/>
                <w:kern w:val="0"/>
                <w:sz w:val="21"/>
                <w:szCs w:val="21"/>
                <w:highlight w:val="none"/>
                <w:u w:val="none"/>
                <w:lang w:val="en-US" w:eastAsia="zh-CN" w:bidi="ar"/>
              </w:rPr>
              <w:t>78</w:t>
            </w:r>
          </w:p>
        </w:tc>
        <w:tc>
          <w:tcPr>
            <w:tcW w:w="767" w:type="dxa"/>
            <w:tcBorders>
              <w:tl2br w:val="nil"/>
              <w:tr2bl w:val="nil"/>
            </w:tcBorders>
            <w:noWrap w:val="0"/>
            <w:vAlign w:val="center"/>
          </w:tcPr>
          <w:p>
            <w:pPr>
              <w:jc w:val="center"/>
              <w:rPr>
                <w:rFonts w:hint="default" w:ascii="Times New Roman" w:hAnsi="Times New Roman" w:cs="Times New Roman"/>
                <w:b/>
                <w:bCs w:val="0"/>
                <w:i w:val="0"/>
                <w:iCs w:val="0"/>
                <w:color w:val="auto"/>
                <w:kern w:val="0"/>
                <w:sz w:val="21"/>
                <w:szCs w:val="21"/>
                <w:highlight w:val="none"/>
                <w:u w:val="none"/>
                <w:lang w:val="en-US" w:eastAsia="zh-CN" w:bidi="ar"/>
              </w:rPr>
            </w:pPr>
            <w:r>
              <w:rPr>
                <w:rFonts w:hint="default" w:ascii="Times New Roman" w:hAnsi="Times New Roman" w:cs="Times New Roman"/>
                <w:b/>
                <w:bCs w:val="0"/>
                <w:color w:val="auto"/>
                <w:sz w:val="21"/>
                <w:szCs w:val="21"/>
                <w:lang w:val="en-US" w:eastAsia="zh-CN"/>
              </w:rPr>
              <w:t>50</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val="0"/>
                <w:i w:val="0"/>
                <w:iCs w:val="0"/>
                <w:color w:val="auto"/>
                <w:kern w:val="0"/>
                <w:sz w:val="21"/>
                <w:szCs w:val="21"/>
                <w:highlight w:val="none"/>
                <w:u w:val="none"/>
                <w:lang w:val="en-US" w:eastAsia="zh-CN" w:bidi="ar"/>
              </w:rPr>
            </w:pPr>
            <w:r>
              <w:rPr>
                <w:rFonts w:hint="default" w:ascii="Times New Roman" w:hAnsi="Times New Roman" w:cs="Times New Roman"/>
                <w:b/>
                <w:bCs w:val="0"/>
                <w:i w:val="0"/>
                <w:iCs w:val="0"/>
                <w:color w:val="auto"/>
                <w:kern w:val="0"/>
                <w:sz w:val="21"/>
                <w:szCs w:val="21"/>
                <w:highlight w:val="none"/>
                <w:u w:val="none"/>
                <w:lang w:val="en-US" w:eastAsia="zh-CN" w:bidi="ar"/>
              </w:rPr>
              <w:t>78.0</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val="0"/>
                <w:i w:val="0"/>
                <w:iCs w:val="0"/>
                <w:color w:val="auto"/>
                <w:kern w:val="0"/>
                <w:sz w:val="21"/>
                <w:szCs w:val="21"/>
                <w:highlight w:val="none"/>
                <w:u w:val="none"/>
                <w:lang w:val="en-US" w:eastAsia="zh-CN" w:bidi="ar"/>
              </w:rPr>
            </w:pPr>
            <w:r>
              <w:rPr>
                <w:rFonts w:hint="default" w:ascii="Times New Roman" w:hAnsi="Times New Roman" w:cs="Times New Roman"/>
                <w:b/>
                <w:bCs w:val="0"/>
                <w:snapToGrid w:val="0"/>
                <w:color w:val="auto"/>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val="0"/>
                <w:i w:val="0"/>
                <w:iCs w:val="0"/>
                <w:color w:val="000000"/>
                <w:kern w:val="0"/>
                <w:sz w:val="21"/>
                <w:szCs w:val="21"/>
                <w:highlight w:val="none"/>
                <w:u w:val="none"/>
                <w:lang w:val="en-US" w:eastAsia="zh-CN" w:bidi="ar"/>
              </w:rPr>
            </w:pPr>
            <w:r>
              <w:rPr>
                <w:rFonts w:hint="default" w:ascii="Times New Roman" w:hAnsi="Times New Roman" w:cs="Times New Roman"/>
                <w:b/>
                <w:bCs w:val="0"/>
                <w:i w:val="0"/>
                <w:iCs w:val="0"/>
                <w:color w:val="000000"/>
                <w:kern w:val="0"/>
                <w:sz w:val="21"/>
                <w:szCs w:val="21"/>
                <w:highlight w:val="none"/>
                <w:u w:val="none"/>
                <w:lang w:val="en-US" w:eastAsia="zh-CN" w:bidi="ar"/>
              </w:rPr>
              <w:t>不</w:t>
            </w:r>
            <w:r>
              <w:rPr>
                <w:rFonts w:hint="default" w:ascii="Times New Roman" w:hAnsi="Times New Roman" w:eastAsia="宋体" w:cs="Times New Roman"/>
                <w:b/>
                <w:bCs w:val="0"/>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264" w:hRule="atLeast"/>
          <w:jc w:val="center"/>
        </w:trPr>
        <w:tc>
          <w:tcPr>
            <w:tcW w:w="2196" w:type="dxa"/>
            <w:tcBorders>
              <w:tl2br w:val="nil"/>
              <w:tr2bl w:val="nil"/>
            </w:tcBorders>
            <w:noWrap w:val="0"/>
            <w:vAlign w:val="center"/>
          </w:tcPr>
          <w:p>
            <w:pPr>
              <w:adjustRightInd w:val="0"/>
              <w:snapToGrid w:val="0"/>
              <w:jc w:val="center"/>
              <w:rPr>
                <w:rFonts w:hint="default" w:ascii="Times New Roman" w:hAnsi="Times New Roman" w:cs="Times New Roman"/>
                <w:b/>
                <w:bCs w:val="0"/>
                <w:snapToGrid w:val="0"/>
                <w:color w:val="auto"/>
                <w:kern w:val="0"/>
                <w:sz w:val="21"/>
                <w:szCs w:val="21"/>
                <w:highlight w:val="none"/>
              </w:rPr>
            </w:pPr>
            <w:r>
              <w:rPr>
                <w:rFonts w:hint="default" w:ascii="Times New Roman" w:hAnsi="Times New Roman" w:eastAsia="宋体" w:cs="Times New Roman"/>
                <w:b/>
                <w:bCs w:val="0"/>
                <w:color w:val="auto"/>
                <w:sz w:val="21"/>
                <w:szCs w:val="21"/>
                <w:lang w:val="en-US" w:eastAsia="zh-CN"/>
              </w:rPr>
              <w:t>项目东侧约5m处四合村居民面向拟建道路一侧高1.2m处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bCs w:val="0"/>
                <w:snapToGrid w:val="0"/>
                <w:color w:val="auto"/>
                <w:kern w:val="0"/>
                <w:sz w:val="21"/>
                <w:szCs w:val="21"/>
                <w:highlight w:val="none"/>
              </w:rPr>
            </w:pPr>
            <w:r>
              <w:rPr>
                <w:rFonts w:hint="default" w:ascii="Times New Roman" w:hAnsi="Times New Roman" w:cs="Times New Roman"/>
                <w:b/>
                <w:bCs w:val="0"/>
                <w:color w:val="auto"/>
                <w:sz w:val="21"/>
                <w:szCs w:val="21"/>
                <w:highlight w:val="none"/>
                <w:lang w:val="en-US" w:eastAsia="zh-CN"/>
              </w:rPr>
              <w:t>5</w:t>
            </w:r>
          </w:p>
        </w:tc>
        <w:tc>
          <w:tcPr>
            <w:tcW w:w="767" w:type="dxa"/>
            <w:tcBorders>
              <w:tl2br w:val="nil"/>
              <w:tr2bl w:val="nil"/>
            </w:tcBorders>
            <w:noWrap w:val="0"/>
            <w:vAlign w:val="center"/>
          </w:tcPr>
          <w:p>
            <w:pPr>
              <w:jc w:val="center"/>
              <w:rPr>
                <w:rFonts w:hint="default" w:ascii="Times New Roman" w:hAnsi="Times New Roman" w:cs="Times New Roman"/>
                <w:b/>
                <w:bCs w:val="0"/>
                <w:snapToGrid w:val="0"/>
                <w:color w:val="auto"/>
                <w:kern w:val="0"/>
                <w:sz w:val="21"/>
                <w:szCs w:val="21"/>
                <w:highlight w:val="none"/>
              </w:rPr>
            </w:pPr>
            <w:r>
              <w:rPr>
                <w:rFonts w:hint="default" w:ascii="Times New Roman" w:hAnsi="Times New Roman" w:cs="Times New Roman"/>
                <w:b/>
                <w:bCs w:val="0"/>
                <w:snapToGrid w:val="0"/>
                <w:color w:val="auto"/>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val="0"/>
                <w:i w:val="0"/>
                <w:iCs w:val="0"/>
                <w:color w:val="auto"/>
                <w:kern w:val="0"/>
                <w:sz w:val="21"/>
                <w:szCs w:val="21"/>
                <w:highlight w:val="none"/>
                <w:u w:val="none"/>
                <w:lang w:val="en-US" w:eastAsia="zh-CN" w:bidi="ar"/>
              </w:rPr>
            </w:pPr>
            <w:r>
              <w:rPr>
                <w:rFonts w:hint="default" w:ascii="Times New Roman" w:hAnsi="Times New Roman" w:cs="Times New Roman"/>
                <w:b/>
                <w:bCs w:val="0"/>
                <w:i w:val="0"/>
                <w:iCs w:val="0"/>
                <w:color w:val="auto"/>
                <w:kern w:val="0"/>
                <w:sz w:val="21"/>
                <w:szCs w:val="21"/>
                <w:highlight w:val="none"/>
                <w:u w:val="none"/>
                <w:lang w:val="en-US" w:eastAsia="zh-CN" w:bidi="ar"/>
              </w:rPr>
              <w:t>71</w:t>
            </w:r>
          </w:p>
        </w:tc>
        <w:tc>
          <w:tcPr>
            <w:tcW w:w="767" w:type="dxa"/>
            <w:tcBorders>
              <w:tl2br w:val="nil"/>
              <w:tr2bl w:val="nil"/>
            </w:tcBorders>
            <w:noWrap w:val="0"/>
            <w:vAlign w:val="center"/>
          </w:tcPr>
          <w:p>
            <w:pPr>
              <w:jc w:val="center"/>
              <w:rPr>
                <w:rFonts w:hint="default" w:ascii="Times New Roman" w:hAnsi="Times New Roman" w:cs="Times New Roman"/>
                <w:b/>
                <w:bCs w:val="0"/>
                <w:i w:val="0"/>
                <w:iCs w:val="0"/>
                <w:color w:val="auto"/>
                <w:kern w:val="0"/>
                <w:sz w:val="21"/>
                <w:szCs w:val="21"/>
                <w:highlight w:val="none"/>
                <w:u w:val="none"/>
                <w:lang w:val="en-US" w:eastAsia="zh-CN" w:bidi="ar"/>
              </w:rPr>
            </w:pPr>
            <w:r>
              <w:rPr>
                <w:rFonts w:hint="default" w:ascii="Times New Roman" w:hAnsi="Times New Roman" w:cs="Times New Roman"/>
                <w:b/>
                <w:bCs w:val="0"/>
                <w:color w:val="auto"/>
                <w:sz w:val="21"/>
                <w:szCs w:val="21"/>
                <w:lang w:val="en-US" w:eastAsia="zh-CN"/>
              </w:rPr>
              <w:t>53</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val="0"/>
                <w:i w:val="0"/>
                <w:iCs w:val="0"/>
                <w:color w:val="auto"/>
                <w:kern w:val="0"/>
                <w:sz w:val="21"/>
                <w:szCs w:val="21"/>
                <w:highlight w:val="none"/>
                <w:u w:val="none"/>
                <w:lang w:val="en-US" w:eastAsia="zh-CN" w:bidi="ar"/>
              </w:rPr>
            </w:pPr>
            <w:r>
              <w:rPr>
                <w:rFonts w:hint="default" w:ascii="Times New Roman" w:hAnsi="Times New Roman" w:cs="Times New Roman"/>
                <w:b/>
                <w:bCs w:val="0"/>
                <w:i w:val="0"/>
                <w:iCs w:val="0"/>
                <w:color w:val="auto"/>
                <w:kern w:val="0"/>
                <w:sz w:val="21"/>
                <w:szCs w:val="21"/>
                <w:highlight w:val="none"/>
                <w:u w:val="none"/>
                <w:lang w:val="en-US" w:eastAsia="zh-CN" w:bidi="ar"/>
              </w:rPr>
              <w:t>71.07</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val="0"/>
                <w:i w:val="0"/>
                <w:iCs w:val="0"/>
                <w:color w:val="auto"/>
                <w:kern w:val="0"/>
                <w:sz w:val="21"/>
                <w:szCs w:val="21"/>
                <w:highlight w:val="none"/>
                <w:u w:val="none"/>
                <w:lang w:val="en-US" w:eastAsia="zh-CN" w:bidi="ar"/>
              </w:rPr>
            </w:pPr>
            <w:r>
              <w:rPr>
                <w:rFonts w:hint="default" w:ascii="Times New Roman" w:hAnsi="Times New Roman" w:cs="Times New Roman"/>
                <w:b/>
                <w:bCs w:val="0"/>
                <w:snapToGrid w:val="0"/>
                <w:color w:val="auto"/>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val="0"/>
                <w:i w:val="0"/>
                <w:iCs w:val="0"/>
                <w:color w:val="000000"/>
                <w:kern w:val="0"/>
                <w:sz w:val="21"/>
                <w:szCs w:val="21"/>
                <w:highlight w:val="none"/>
                <w:u w:val="none"/>
                <w:lang w:val="en-US" w:eastAsia="zh-CN" w:bidi="ar"/>
              </w:rPr>
            </w:pPr>
            <w:r>
              <w:rPr>
                <w:rFonts w:hint="default" w:ascii="Times New Roman" w:hAnsi="Times New Roman" w:cs="Times New Roman"/>
                <w:b/>
                <w:bCs w:val="0"/>
                <w:i w:val="0"/>
                <w:iCs w:val="0"/>
                <w:color w:val="000000"/>
                <w:kern w:val="0"/>
                <w:sz w:val="21"/>
                <w:szCs w:val="21"/>
                <w:highlight w:val="none"/>
                <w:u w:val="none"/>
                <w:lang w:val="en-US" w:eastAsia="zh-CN" w:bidi="ar"/>
              </w:rPr>
              <w:t>不</w:t>
            </w:r>
            <w:r>
              <w:rPr>
                <w:rFonts w:hint="default" w:ascii="Times New Roman" w:hAnsi="Times New Roman" w:eastAsia="宋体" w:cs="Times New Roman"/>
                <w:b/>
                <w:bCs w:val="0"/>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272" w:hRule="atLeast"/>
          <w:jc w:val="center"/>
        </w:trPr>
        <w:tc>
          <w:tcPr>
            <w:tcW w:w="2196" w:type="dxa"/>
            <w:tcBorders>
              <w:tl2br w:val="nil"/>
              <w:tr2bl w:val="nil"/>
            </w:tcBorders>
            <w:noWrap w:val="0"/>
            <w:vAlign w:val="center"/>
          </w:tcPr>
          <w:p>
            <w:pPr>
              <w:adjustRightInd w:val="0"/>
              <w:snapToGrid w:val="0"/>
              <w:jc w:val="center"/>
              <w:rPr>
                <w:rFonts w:hint="default" w:ascii="Times New Roman" w:hAnsi="Times New Roman" w:cs="Times New Roman"/>
                <w:b w:val="0"/>
                <w:bCs/>
                <w:snapToGrid w:val="0"/>
                <w:kern w:val="0"/>
                <w:sz w:val="21"/>
                <w:szCs w:val="21"/>
                <w:highlight w:val="none"/>
              </w:rPr>
            </w:pPr>
            <w:r>
              <w:rPr>
                <w:rFonts w:hint="default" w:ascii="Times New Roman" w:hAnsi="Times New Roman" w:eastAsia="宋体" w:cs="Times New Roman"/>
                <w:b w:val="0"/>
                <w:bCs/>
                <w:sz w:val="21"/>
                <w:szCs w:val="21"/>
                <w:lang w:val="en-US" w:eastAsia="zh-CN"/>
              </w:rPr>
              <w:t>项目西侧约110m溪口村居民面向拟建道路一侧高1.2m处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z w:val="21"/>
                <w:szCs w:val="21"/>
                <w:highlight w:val="none"/>
                <w:lang w:val="en-US" w:eastAsia="zh-CN"/>
              </w:rPr>
              <w:t>110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44</w:t>
            </w:r>
          </w:p>
        </w:tc>
        <w:tc>
          <w:tcPr>
            <w:tcW w:w="767" w:type="dxa"/>
            <w:tcBorders>
              <w:tl2br w:val="nil"/>
              <w:tr2bl w:val="nil"/>
            </w:tcBorders>
            <w:noWrap w:val="0"/>
            <w:vAlign w:val="center"/>
          </w:tcPr>
          <w:p>
            <w:pPr>
              <w:jc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color w:val="auto"/>
                <w:sz w:val="21"/>
                <w:szCs w:val="21"/>
                <w:lang w:val="en-US" w:eastAsia="zh-CN"/>
              </w:rPr>
              <w:t>56</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56.27</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PrEx>
        <w:trPr>
          <w:trHeight w:val="272" w:hRule="atLeast"/>
          <w:jc w:val="center"/>
        </w:trPr>
        <w:tc>
          <w:tcPr>
            <w:tcW w:w="219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lang w:val="en-US" w:eastAsia="zh-CN"/>
              </w:rPr>
              <w:t>项目西侧约90m溪口村居民面向拟建道路一侧高1.2m处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90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46</w:t>
            </w:r>
          </w:p>
        </w:tc>
        <w:tc>
          <w:tcPr>
            <w:tcW w:w="767" w:type="dxa"/>
            <w:tcBorders>
              <w:tl2br w:val="nil"/>
              <w:tr2bl w:val="nil"/>
            </w:tcBorders>
            <w:noWrap w:val="0"/>
            <w:vAlign w:val="center"/>
          </w:tcPr>
          <w:p>
            <w:pPr>
              <w:jc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color w:val="auto"/>
                <w:sz w:val="21"/>
                <w:szCs w:val="21"/>
                <w:lang w:val="en-US" w:eastAsia="zh-CN"/>
              </w:rPr>
              <w:t>51</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52.19</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272" w:hRule="atLeast"/>
          <w:jc w:val="center"/>
        </w:trPr>
        <w:tc>
          <w:tcPr>
            <w:tcW w:w="219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lang w:val="en-US" w:eastAsia="zh-CN"/>
              </w:rPr>
              <w:t>项目东侧约100m溪口村居民面向拟建道路一侧高1.2m处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100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45</w:t>
            </w:r>
          </w:p>
        </w:tc>
        <w:tc>
          <w:tcPr>
            <w:tcW w:w="767" w:type="dxa"/>
            <w:tcBorders>
              <w:tl2br w:val="nil"/>
              <w:tr2bl w:val="nil"/>
            </w:tcBorders>
            <w:noWrap w:val="0"/>
            <w:vAlign w:val="center"/>
          </w:tcPr>
          <w:p>
            <w:pPr>
              <w:jc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color w:val="auto"/>
                <w:sz w:val="21"/>
                <w:szCs w:val="21"/>
                <w:lang w:val="en-US" w:eastAsia="zh-CN"/>
              </w:rPr>
              <w:t>44</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47.54</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272" w:hRule="atLeast"/>
          <w:jc w:val="center"/>
        </w:trPr>
        <w:tc>
          <w:tcPr>
            <w:tcW w:w="219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lang w:val="en-US" w:eastAsia="zh-CN"/>
              </w:rPr>
              <w:t>项目西侧约100m溪口村居民面向拟建道路一侧高1.2m处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100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45</w:t>
            </w:r>
          </w:p>
        </w:tc>
        <w:tc>
          <w:tcPr>
            <w:tcW w:w="767" w:type="dxa"/>
            <w:tcBorders>
              <w:tl2br w:val="nil"/>
              <w:tr2bl w:val="nil"/>
            </w:tcBorders>
            <w:noWrap w:val="0"/>
            <w:vAlign w:val="center"/>
          </w:tcPr>
          <w:p>
            <w:pPr>
              <w:jc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color w:val="auto"/>
                <w:sz w:val="21"/>
                <w:szCs w:val="21"/>
                <w:lang w:val="en-US" w:eastAsia="zh-CN"/>
              </w:rPr>
              <w:t>41</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46.46</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272" w:hRule="atLeast"/>
          <w:jc w:val="center"/>
        </w:trPr>
        <w:tc>
          <w:tcPr>
            <w:tcW w:w="219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lang w:val="en-US" w:eastAsia="zh-CN"/>
              </w:rPr>
              <w:t>项目西侧约50m</w:t>
            </w:r>
            <w:r>
              <w:rPr>
                <w:rFonts w:hint="default" w:ascii="Times New Roman" w:hAnsi="Times New Roman" w:cs="Times New Roman"/>
                <w:b w:val="0"/>
                <w:bCs/>
                <w:sz w:val="21"/>
                <w:szCs w:val="21"/>
                <w:lang w:val="en-US" w:eastAsia="zh-CN"/>
              </w:rPr>
              <w:t>福善村</w:t>
            </w:r>
            <w:r>
              <w:rPr>
                <w:rFonts w:hint="default" w:ascii="Times New Roman" w:hAnsi="Times New Roman" w:eastAsia="宋体" w:cs="Times New Roman"/>
                <w:b w:val="0"/>
                <w:bCs/>
                <w:sz w:val="21"/>
                <w:szCs w:val="21"/>
                <w:lang w:val="en-US" w:eastAsia="zh-CN"/>
              </w:rPr>
              <w:t>居民面向拟建道路一侧高1.2m处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50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51</w:t>
            </w:r>
          </w:p>
        </w:tc>
        <w:tc>
          <w:tcPr>
            <w:tcW w:w="767" w:type="dxa"/>
            <w:tcBorders>
              <w:tl2br w:val="nil"/>
              <w:tr2bl w:val="nil"/>
            </w:tcBorders>
            <w:noWrap w:val="0"/>
            <w:vAlign w:val="center"/>
          </w:tcPr>
          <w:p>
            <w:pPr>
              <w:jc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color w:val="auto"/>
                <w:sz w:val="21"/>
                <w:szCs w:val="21"/>
                <w:lang w:val="en-US" w:eastAsia="zh-CN"/>
              </w:rPr>
              <w:t>46</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52.19</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272" w:hRule="atLeast"/>
          <w:jc w:val="center"/>
        </w:trPr>
        <w:tc>
          <w:tcPr>
            <w:tcW w:w="219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lang w:val="en-US" w:eastAsia="zh-CN"/>
              </w:rPr>
              <w:t>项目西侧约10m</w:t>
            </w:r>
            <w:r>
              <w:rPr>
                <w:rFonts w:hint="default" w:ascii="Times New Roman" w:hAnsi="Times New Roman" w:cs="Times New Roman"/>
                <w:b w:val="0"/>
                <w:bCs/>
                <w:sz w:val="21"/>
                <w:szCs w:val="21"/>
                <w:lang w:val="en-US" w:eastAsia="zh-CN"/>
              </w:rPr>
              <w:t>福善村</w:t>
            </w:r>
            <w:r>
              <w:rPr>
                <w:rFonts w:hint="default" w:ascii="Times New Roman" w:hAnsi="Times New Roman" w:eastAsia="宋体" w:cs="Times New Roman"/>
                <w:b w:val="0"/>
                <w:bCs/>
                <w:sz w:val="21"/>
                <w:szCs w:val="21"/>
                <w:lang w:val="en-US" w:eastAsia="zh-CN"/>
              </w:rPr>
              <w:t>居民面向拟建道路一侧高1.2m处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65</w:t>
            </w:r>
          </w:p>
        </w:tc>
        <w:tc>
          <w:tcPr>
            <w:tcW w:w="767" w:type="dxa"/>
            <w:tcBorders>
              <w:tl2br w:val="nil"/>
              <w:tr2bl w:val="nil"/>
            </w:tcBorders>
            <w:noWrap w:val="0"/>
            <w:vAlign w:val="center"/>
          </w:tcPr>
          <w:p>
            <w:pPr>
              <w:jc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color w:val="auto"/>
                <w:sz w:val="21"/>
                <w:szCs w:val="21"/>
                <w:lang w:val="en-US" w:eastAsia="zh-CN"/>
              </w:rPr>
              <w:t>51</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65.17</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272" w:hRule="atLeast"/>
          <w:jc w:val="center"/>
        </w:trPr>
        <w:tc>
          <w:tcPr>
            <w:tcW w:w="219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lang w:val="en-US" w:eastAsia="zh-CN"/>
              </w:rPr>
              <w:t>项目西侧约60m</w:t>
            </w:r>
            <w:r>
              <w:rPr>
                <w:rFonts w:hint="default" w:ascii="Times New Roman" w:hAnsi="Times New Roman" w:cs="Times New Roman"/>
                <w:b w:val="0"/>
                <w:bCs/>
                <w:sz w:val="21"/>
                <w:szCs w:val="21"/>
                <w:lang w:val="en-US" w:eastAsia="zh-CN"/>
              </w:rPr>
              <w:t>福善村</w:t>
            </w:r>
            <w:r>
              <w:rPr>
                <w:rFonts w:hint="default" w:ascii="Times New Roman" w:hAnsi="Times New Roman" w:eastAsia="宋体" w:cs="Times New Roman"/>
                <w:b w:val="0"/>
                <w:bCs/>
                <w:sz w:val="21"/>
                <w:szCs w:val="21"/>
                <w:lang w:val="en-US" w:eastAsia="zh-CN"/>
              </w:rPr>
              <w:t>居民面向拟建道路一侧1.2m处</w:t>
            </w:r>
          </w:p>
        </w:tc>
        <w:tc>
          <w:tcPr>
            <w:tcW w:w="766" w:type="dxa"/>
            <w:tcBorders>
              <w:tl2br w:val="nil"/>
              <w:tr2bl w:val="nil"/>
            </w:tcBorders>
            <w:noWrap w:val="0"/>
            <w:vAlign w:val="center"/>
          </w:tcPr>
          <w:p>
            <w:pPr>
              <w:adjustRightInd w:val="0"/>
              <w:snapToGrid w:val="0"/>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60</w:t>
            </w:r>
          </w:p>
        </w:tc>
        <w:tc>
          <w:tcPr>
            <w:tcW w:w="767" w:type="dxa"/>
            <w:tcBorders>
              <w:tl2br w:val="nil"/>
              <w:tr2bl w:val="nil"/>
            </w:tcBorders>
            <w:noWrap w:val="0"/>
            <w:vAlign w:val="center"/>
          </w:tcPr>
          <w:p>
            <w:pPr>
              <w:jc w:val="center"/>
              <w:rPr>
                <w:rFonts w:hint="default" w:ascii="Times New Roman" w:hAnsi="Times New Roman" w:cs="Times New Roman"/>
                <w:b w:val="0"/>
                <w:bCs/>
                <w:snapToGrid w:val="0"/>
                <w:kern w:val="0"/>
                <w:sz w:val="21"/>
                <w:szCs w:val="21"/>
                <w:highlight w:val="none"/>
              </w:rPr>
            </w:pPr>
            <w:r>
              <w:rPr>
                <w:rFonts w:hint="default" w:ascii="Times New Roman" w:hAnsi="Times New Roman" w:cs="Times New Roman"/>
                <w:b w:val="0"/>
                <w:bCs/>
                <w:snapToGrid w:val="0"/>
                <w:kern w:val="0"/>
                <w:sz w:val="21"/>
                <w:szCs w:val="21"/>
                <w:highlight w:val="none"/>
              </w:rPr>
              <w:t>昼间</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49</w:t>
            </w:r>
          </w:p>
        </w:tc>
        <w:tc>
          <w:tcPr>
            <w:tcW w:w="767" w:type="dxa"/>
            <w:tcBorders>
              <w:tl2br w:val="nil"/>
              <w:tr2bl w:val="nil"/>
            </w:tcBorders>
            <w:noWrap w:val="0"/>
            <w:vAlign w:val="center"/>
          </w:tcPr>
          <w:p>
            <w:pPr>
              <w:jc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color w:val="auto"/>
                <w:sz w:val="21"/>
                <w:szCs w:val="21"/>
                <w:lang w:val="en-US" w:eastAsia="zh-CN"/>
              </w:rPr>
              <w:t>53</w:t>
            </w:r>
          </w:p>
        </w:tc>
        <w:tc>
          <w:tcPr>
            <w:tcW w:w="7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i w:val="0"/>
                <w:iCs w:val="0"/>
                <w:color w:val="000000"/>
                <w:kern w:val="0"/>
                <w:sz w:val="21"/>
                <w:szCs w:val="21"/>
                <w:highlight w:val="none"/>
                <w:u w:val="none"/>
                <w:lang w:val="en-US" w:eastAsia="zh-CN" w:bidi="ar"/>
              </w:rPr>
            </w:pPr>
            <w:r>
              <w:rPr>
                <w:rFonts w:hint="default" w:ascii="Times New Roman" w:hAnsi="Times New Roman" w:cs="Times New Roman"/>
                <w:b w:val="0"/>
                <w:bCs/>
                <w:i w:val="0"/>
                <w:iCs w:val="0"/>
                <w:color w:val="000000"/>
                <w:kern w:val="0"/>
                <w:sz w:val="21"/>
                <w:szCs w:val="21"/>
                <w:highlight w:val="none"/>
                <w:u w:val="none"/>
                <w:lang w:val="en-US" w:eastAsia="zh-CN" w:bidi="ar"/>
              </w:rPr>
              <w:t>54.46</w:t>
            </w:r>
          </w:p>
        </w:tc>
        <w:tc>
          <w:tcPr>
            <w:tcW w:w="7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napToGrid w:val="0"/>
                <w:kern w:val="0"/>
                <w:sz w:val="21"/>
                <w:szCs w:val="21"/>
                <w:highlight w:val="none"/>
                <w:lang w:val="en-US" w:eastAsia="zh-CN"/>
              </w:rPr>
            </w:pPr>
            <w:r>
              <w:rPr>
                <w:rFonts w:hint="default" w:ascii="Times New Roman" w:hAnsi="Times New Roman" w:cs="Times New Roman"/>
                <w:b w:val="0"/>
                <w:bCs/>
                <w:snapToGrid w:val="0"/>
                <w:kern w:val="0"/>
                <w:sz w:val="21"/>
                <w:szCs w:val="21"/>
                <w:highlight w:val="none"/>
                <w:lang w:val="en-US" w:eastAsia="zh-CN"/>
              </w:rPr>
              <w:t>70</w:t>
            </w:r>
          </w:p>
        </w:tc>
        <w:tc>
          <w:tcPr>
            <w:tcW w:w="9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达标</w:t>
            </w:r>
          </w:p>
        </w:tc>
      </w:tr>
    </w:tbl>
    <w:p>
      <w:pPr>
        <w:spacing w:line="360" w:lineRule="auto"/>
        <w:ind w:firstLine="420" w:firstLineChars="200"/>
        <w:rPr>
          <w:rFonts w:hint="default" w:ascii="Times New Roman" w:hAnsi="Times New Roman" w:cs="Times New Roman"/>
          <w:b w:val="0"/>
          <w:bCs/>
          <w:sz w:val="21"/>
          <w:szCs w:val="21"/>
          <w:highlight w:val="none"/>
          <w:lang w:val="en-US" w:eastAsia="zh-CN"/>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根据预测结果可知，项目西侧约2m党群服务中心面向拟建道路一侧高1.2m处</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项目东侧约5m处四合村居民面向拟建道路一侧高1.2m处预测结果不满足《建筑施工场界环境噪声排放标准》（GB12523-2011）中相应标准70dB（A</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，环评要求此段道路施工时设置移动声屏障，并进行现场监测，在满足《建筑施工场界环境噪声排放标准》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GB12523-2011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的要求下实施施工；其他所有敏感点的预测结果均满足《建筑施工场界环境噪声排放标准》（GB12523-2011）中相应标准70dB（A</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bookmarkStart w:id="108" w:name="_Toc19537"/>
      <w:r>
        <w:rPr>
          <w:rFonts w:hint="default" w:ascii="Times New Roman" w:hAnsi="Times New Roman" w:cs="Times New Roman"/>
          <w:b w:val="0"/>
          <w:bCs w:val="0"/>
          <w:sz w:val="24"/>
          <w:szCs w:val="24"/>
          <w:lang w:val="en-US" w:eastAsia="zh-CN" w:bidi="zh-CN"/>
        </w:rPr>
        <w:t>2</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施工期声环境保护措施</w:t>
      </w:r>
      <w:bookmarkEnd w:id="108"/>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通过施工期声环境影响预测分析，为降低施工噪声对声环境敏感目标影响，对此，提出以下施工期声环境保护措施：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（1）合理安排施工计划和施工机械设备组合以及施工时间，禁止在午休时间和夜间（22:00-6:00）进行高噪施工，避免在同一时间集中使用大量的动力机械设备。严格执行《建筑施工场界环境噪声排放标准》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GB12523-2011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的要求，在施工过程中，尽量减少运行动力机械设备的数量，尽可能使动力机械设备比较均匀地使用；</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（2）施工进行合理布局，尽量使高噪声的机械设备远离周围敏感点，项目西侧约2m党群服务中心</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项目东侧约5m处四合村居民敏感点附近施工时，设置移动声屏障，并进行现场监测，在满足《建筑施工场界环境噪声排放标准》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GB12523-2011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的要求下实施施工；</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（3）其中路段涉及各处声环境敏感目标较近处均要求对施工现场架设2.5m~3m高施工围墙，封闭施工现场，以减少施工噪声对周围敏感点的影响；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（4）科学安排施工现场运输车辆作业时间，设法压缩汽车数量及行车频率，运输时在城区及施工场地严禁鸣笛；</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（5）施工单位应选用符合国家有关标准的施工机具和运输车辆，加强机械设备的维护和保养，使其能在正常状态下运转，防止由于机械设备的“带病”工作而提高噪声声级。</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环评要求施工单位严格采取上述噪声防治措施，确保施工期间场界噪声满足《建筑施工场界环境噪声排放标准》（GB12523-2011）中相关要求，实现场界处达标排放，严禁出现施工噪声扰民现象。施工期噪声是暂时的，施工单位采取相应降噪措施的情况下噪声是可以接受的。</w:t>
      </w:r>
    </w:p>
    <w:p>
      <w:pPr>
        <w:pStyle w:val="5"/>
        <w:keepNext w:val="0"/>
        <w:keepLines w:val="0"/>
        <w:pageBreakBefore w:val="0"/>
        <w:widowControl w:val="0"/>
        <w:kinsoku/>
        <w:wordWrap/>
        <w:overflowPunct/>
        <w:topLinePunct w:val="0"/>
        <w:autoSpaceDE w:val="0"/>
        <w:autoSpaceDN w:val="0"/>
        <w:bidi w:val="0"/>
        <w:adjustRightInd/>
        <w:snapToGrid/>
        <w:spacing w:line="360" w:lineRule="auto"/>
        <w:ind w:left="0" w:firstLine="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sz w:val="24"/>
          <w:szCs w:val="24"/>
          <w:lang w:val="en-US" w:eastAsia="zh-CN"/>
        </w:rPr>
        <w:t xml:space="preserve">4.4.2.运营期声环境影响分析 </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道路新建后营运期噪声源主要是道路行驶的各种车辆在行驶过程中产生的交通噪声（包括机动车发动机噪声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排气噪声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车体振动噪声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传动和制动噪声等）其中发动机噪声是主要污染源。通过运营期噪声环境影响预测进行声环境影响分析。</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预测模式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本次评价采用《环境影响评价技术导则 声环境》（HJ2.4-2009）中推荐的道路噪声预测模式进行预测。预测时需将各种车辆按其噪声大小分成大型车</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中型车</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小型车，分别预测某一类车辆的等效声级，然后把三类车辆的等效声级</w:t>
      </w:r>
      <w:r>
        <w:rPr>
          <w:rFonts w:hint="eastAsia" w:ascii="Times New Roman" w:hAnsi="Times New Roman" w:cs="Times New Roman"/>
          <w:b w:val="0"/>
          <w:bCs w:val="0"/>
          <w:sz w:val="24"/>
          <w:szCs w:val="24"/>
          <w:lang w:val="en-US" w:eastAsia="zh-CN" w:bidi="zh-CN"/>
        </w:rPr>
        <w:t>叠加</w:t>
      </w:r>
      <w:r>
        <w:rPr>
          <w:rFonts w:hint="default" w:ascii="Times New Roman" w:hAnsi="Times New Roman" w:eastAsia="宋体" w:cs="Times New Roman"/>
          <w:b w:val="0"/>
          <w:bCs w:val="0"/>
          <w:sz w:val="24"/>
          <w:szCs w:val="24"/>
          <w:lang w:val="en-US" w:eastAsia="zh-CN" w:bidi="zh-CN"/>
        </w:rPr>
        <w:t>得到总声级。</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基本预测模式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（1）第i类车等效声级预测模式</w:t>
      </w:r>
    </w:p>
    <w:p>
      <w:pPr>
        <w:spacing w:line="360" w:lineRule="auto"/>
        <w:ind w:firstLine="480" w:firstLineChars="200"/>
        <w:jc w:val="center"/>
        <w:rPr>
          <w:rFonts w:hint="default" w:ascii="Times New Roman" w:hAnsi="Times New Roman" w:cs="Times New Roman"/>
          <w:b w:val="0"/>
          <w:bCs/>
          <w:szCs w:val="21"/>
        </w:rPr>
      </w:pPr>
      <w:r>
        <w:rPr>
          <w:rFonts w:hint="default" w:ascii="Times New Roman" w:hAnsi="Times New Roman" w:cs="Times New Roman"/>
          <w:b w:val="0"/>
          <w:bCs/>
          <w:position w:val="-30"/>
          <w:szCs w:val="21"/>
        </w:rPr>
        <w:drawing>
          <wp:inline distT="0" distB="0" distL="114300" distR="114300">
            <wp:extent cx="4219575" cy="447675"/>
            <wp:effectExtent l="0" t="0" r="0" b="8890"/>
            <wp:docPr id="1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
                    <pic:cNvPicPr>
                      <a:picLocks noChangeAspect="1"/>
                    </pic:cNvPicPr>
                  </pic:nvPicPr>
                  <pic:blipFill>
                    <a:blip r:embed="rId34"/>
                    <a:stretch>
                      <a:fillRect/>
                    </a:stretch>
                  </pic:blipFill>
                  <pic:spPr>
                    <a:xfrm>
                      <a:off x="0" y="0"/>
                      <a:ext cx="4219575" cy="44767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w:t>
      </w:r>
      <w:r>
        <w:rPr>
          <w:rFonts w:hint="default" w:ascii="Times New Roman" w:hAnsi="Times New Roman" w:eastAsia="宋体" w:cs="Times New Roman"/>
          <w:b w:val="0"/>
          <w:bCs w:val="0"/>
          <w:sz w:val="24"/>
          <w:szCs w:val="24"/>
          <w:lang w:val="en-US" w:eastAsia="zh-CN" w:bidi="zh-CN"/>
        </w:rPr>
        <w:drawing>
          <wp:inline distT="0" distB="0" distL="114300" distR="114300">
            <wp:extent cx="447675" cy="238125"/>
            <wp:effectExtent l="0" t="0" r="8890" b="8255"/>
            <wp:docPr id="1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
                    <pic:cNvPicPr>
                      <a:picLocks noChangeAspect="1"/>
                    </pic:cNvPicPr>
                  </pic:nvPicPr>
                  <pic:blipFill>
                    <a:blip r:embed="rId35"/>
                    <a:stretch>
                      <a:fillRect/>
                    </a:stretch>
                  </pic:blipFill>
                  <pic:spPr>
                    <a:xfrm>
                      <a:off x="0" y="0"/>
                      <a:ext cx="447675" cy="2381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——第i类车的小时等效声级，dB(A)；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238125" cy="228600"/>
            <wp:effectExtent l="0" t="0" r="8890" b="0"/>
            <wp:docPr id="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
                    <pic:cNvPicPr>
                      <a:picLocks noChangeAspect="1"/>
                    </pic:cNvPicPr>
                  </pic:nvPicPr>
                  <pic:blipFill>
                    <a:blip r:embed="rId36"/>
                    <a:stretch>
                      <a:fillRect/>
                    </a:stretch>
                  </pic:blipFill>
                  <pic:spPr>
                    <a:xfrm>
                      <a:off x="0" y="0"/>
                      <a:ext cx="238125"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——第i类车速度为</w:t>
      </w:r>
      <w:r>
        <w:rPr>
          <w:rFonts w:hint="default" w:ascii="Times New Roman" w:hAnsi="Times New Roman" w:eastAsia="宋体" w:cs="Times New Roman"/>
          <w:b w:val="0"/>
          <w:bCs w:val="0"/>
          <w:sz w:val="24"/>
          <w:szCs w:val="24"/>
          <w:lang w:val="en-US" w:eastAsia="zh-CN" w:bidi="zh-CN"/>
        </w:rPr>
        <w:drawing>
          <wp:inline distT="0" distB="0" distL="114300" distR="114300">
            <wp:extent cx="152400" cy="228600"/>
            <wp:effectExtent l="0" t="0" r="0" b="0"/>
            <wp:docPr id="1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
                    <pic:cNvPicPr>
                      <a:picLocks noChangeAspect="1"/>
                    </pic:cNvPicPr>
                  </pic:nvPicPr>
                  <pic:blipFill>
                    <a:blip r:embed="rId37"/>
                    <a:stretch>
                      <a:fillRect/>
                    </a:stretch>
                  </pic:blipFill>
                  <pic:spPr>
                    <a:xfrm>
                      <a:off x="0" y="0"/>
                      <a:ext cx="152400"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，km/h，水平距离为7.5m处的能量平均A声级，dB(A)；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90500" cy="228600"/>
            <wp:effectExtent l="0" t="0" r="0" b="0"/>
            <wp:docPr id="1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
                    <pic:cNvPicPr>
                      <a:picLocks noChangeAspect="1"/>
                    </pic:cNvPicPr>
                  </pic:nvPicPr>
                  <pic:blipFill>
                    <a:blip r:embed="rId38"/>
                    <a:stretch>
                      <a:fillRect/>
                    </a:stretch>
                  </pic:blipFill>
                  <pic:spPr>
                    <a:xfrm>
                      <a:off x="0" y="0"/>
                      <a:ext cx="190500"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——昼间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夜间通过某个预测点的第i类车平均小时车流量，辆/h；</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14300" cy="123825"/>
            <wp:effectExtent l="0" t="0" r="0" b="5715"/>
            <wp:docPr id="1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8"/>
                    <pic:cNvPicPr>
                      <a:picLocks noChangeAspect="1"/>
                    </pic:cNvPicPr>
                  </pic:nvPicPr>
                  <pic:blipFill>
                    <a:blip r:embed="rId39"/>
                    <a:stretch>
                      <a:fillRect/>
                    </a:stretch>
                  </pic:blipFill>
                  <pic:spPr>
                    <a:xfrm>
                      <a:off x="0" y="0"/>
                      <a:ext cx="114300" cy="1238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——从车到中心线到预测点的距离，m；以上公式适用于</w:t>
      </w:r>
      <w:r>
        <w:rPr>
          <w:rFonts w:hint="default" w:ascii="Times New Roman" w:hAnsi="Times New Roman" w:eastAsia="宋体" w:cs="Times New Roman"/>
          <w:b w:val="0"/>
          <w:bCs w:val="0"/>
          <w:sz w:val="24"/>
          <w:szCs w:val="24"/>
          <w:lang w:val="en-US" w:eastAsia="zh-CN" w:bidi="zh-CN"/>
        </w:rPr>
        <w:drawing>
          <wp:inline distT="0" distB="0" distL="114300" distR="114300">
            <wp:extent cx="114300" cy="123825"/>
            <wp:effectExtent l="0" t="0" r="0" b="5715"/>
            <wp:docPr id="1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
                    <pic:cNvPicPr>
                      <a:picLocks noChangeAspect="1"/>
                    </pic:cNvPicPr>
                  </pic:nvPicPr>
                  <pic:blipFill>
                    <a:blip r:embed="rId39"/>
                    <a:stretch>
                      <a:fillRect/>
                    </a:stretch>
                  </pic:blipFill>
                  <pic:spPr>
                    <a:xfrm>
                      <a:off x="0" y="0"/>
                      <a:ext cx="114300" cy="1238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＞7.5m预测点的噪声预测。</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52400" cy="228600"/>
            <wp:effectExtent l="0" t="0" r="0" b="0"/>
            <wp:docPr id="1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
                    <pic:cNvPicPr>
                      <a:picLocks noChangeAspect="1"/>
                    </pic:cNvPicPr>
                  </pic:nvPicPr>
                  <pic:blipFill>
                    <a:blip r:embed="rId40"/>
                    <a:stretch>
                      <a:fillRect/>
                    </a:stretch>
                  </pic:blipFill>
                  <pic:spPr>
                    <a:xfrm>
                      <a:off x="0" y="0"/>
                      <a:ext cx="152400"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——第i类车的平均车速，km/h；</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42875" cy="161925"/>
            <wp:effectExtent l="0" t="0" r="9525" b="6350"/>
            <wp:docPr id="1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1"/>
                    <pic:cNvPicPr>
                      <a:picLocks noChangeAspect="1"/>
                    </pic:cNvPicPr>
                  </pic:nvPicPr>
                  <pic:blipFill>
                    <a:blip r:embed="rId41"/>
                    <a:stretch>
                      <a:fillRect/>
                    </a:stretch>
                  </pic:blipFill>
                  <pic:spPr>
                    <a:xfrm>
                      <a:off x="0" y="0"/>
                      <a:ext cx="142875" cy="1619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——计算等效声级的时间，1h；</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219075" cy="228600"/>
            <wp:effectExtent l="0" t="0" r="9525" b="0"/>
            <wp:docPr id="1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2"/>
                    <pic:cNvPicPr>
                      <a:picLocks noChangeAspect="1"/>
                    </pic:cNvPicPr>
                  </pic:nvPicPr>
                  <pic:blipFill>
                    <a:blip r:embed="rId42"/>
                    <a:stretch>
                      <a:fillRect/>
                    </a:stretch>
                  </pic:blipFill>
                  <pic:spPr>
                    <a:xfrm>
                      <a:off x="0" y="0"/>
                      <a:ext cx="219075" cy="228600"/>
                    </a:xfrm>
                    <a:prstGeom prst="rect">
                      <a:avLst/>
                    </a:prstGeom>
                    <a:noFill/>
                    <a:ln>
                      <a:noFill/>
                    </a:ln>
                  </pic:spPr>
                </pic:pic>
              </a:graphicData>
            </a:graphic>
          </wp:inline>
        </w:drawing>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drawing>
          <wp:inline distT="0" distB="0" distL="114300" distR="114300">
            <wp:extent cx="228600" cy="228600"/>
            <wp:effectExtent l="0" t="0" r="0" b="0"/>
            <wp:docPr id="1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3"/>
                    <pic:cNvPicPr>
                      <a:picLocks noChangeAspect="1"/>
                    </pic:cNvPicPr>
                  </pic:nvPicPr>
                  <pic:blipFill>
                    <a:blip r:embed="rId43"/>
                    <a:stretch>
                      <a:fillRect/>
                    </a:stretch>
                  </pic:blipFill>
                  <pic:spPr>
                    <a:xfrm>
                      <a:off x="0" y="0"/>
                      <a:ext cx="228600"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——预测点到有限长路段两端的张角，弧度，如下图所示：</w:t>
      </w:r>
    </w:p>
    <w:p>
      <w:pPr>
        <w:adjustRightInd w:val="0"/>
        <w:jc w:val="center"/>
        <w:rPr>
          <w:rFonts w:hint="default" w:ascii="Times New Roman" w:hAnsi="Times New Roman" w:cs="Times New Roman"/>
          <w:b w:val="0"/>
          <w:bCs/>
          <w:szCs w:val="21"/>
        </w:rPr>
      </w:pPr>
      <w:r>
        <w:rPr>
          <w:rFonts w:hint="default" w:ascii="Times New Roman" w:hAnsi="Times New Roman" w:cs="Times New Roman"/>
          <w:b w:val="0"/>
          <w:bCs/>
          <w:szCs w:val="21"/>
        </w:rPr>
        <w:drawing>
          <wp:inline distT="0" distB="0" distL="114300" distR="114300">
            <wp:extent cx="2686050" cy="1209675"/>
            <wp:effectExtent l="0" t="0" r="0" b="9525"/>
            <wp:docPr id="1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4"/>
                    <pic:cNvPicPr>
                      <a:picLocks noChangeAspect="1"/>
                    </pic:cNvPicPr>
                  </pic:nvPicPr>
                  <pic:blipFill>
                    <a:blip r:embed="rId44"/>
                    <a:stretch>
                      <a:fillRect/>
                    </a:stretch>
                  </pic:blipFill>
                  <pic:spPr>
                    <a:xfrm>
                      <a:off x="0" y="0"/>
                      <a:ext cx="2686050" cy="1209675"/>
                    </a:xfrm>
                    <a:prstGeom prst="rect">
                      <a:avLst/>
                    </a:prstGeom>
                    <a:noFill/>
                    <a:ln>
                      <a:noFill/>
                    </a:ln>
                  </pic:spPr>
                </pic:pic>
              </a:graphicData>
            </a:graphic>
          </wp:inline>
        </w:drawing>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图4.4-1 </w:t>
      </w:r>
      <w:r>
        <w:rPr>
          <w:rFonts w:hint="default" w:ascii="Times New Roman" w:hAnsi="Times New Roman" w:eastAsia="宋体" w:cs="Times New Roman"/>
          <w:b/>
          <w:bCs w:val="0"/>
          <w:kern w:val="0"/>
          <w:sz w:val="21"/>
          <w:szCs w:val="21"/>
        </w:rPr>
        <w:t>有限路段的修正函数，A—B为路段，P为预测点</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228600" cy="161925"/>
            <wp:effectExtent l="0" t="0" r="0" b="7620"/>
            <wp:docPr id="1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5"/>
                    <pic:cNvPicPr>
                      <a:picLocks noChangeAspect="1"/>
                    </pic:cNvPicPr>
                  </pic:nvPicPr>
                  <pic:blipFill>
                    <a:blip r:embed="rId45"/>
                    <a:stretch>
                      <a:fillRect/>
                    </a:stretch>
                  </pic:blipFill>
                  <pic:spPr>
                    <a:xfrm>
                      <a:off x="0" y="0"/>
                      <a:ext cx="228600" cy="1619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—由其他因素引起的修正量，dB(A)，可按下式计算：</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457325" cy="257175"/>
            <wp:effectExtent l="0" t="0" r="9525" b="8255"/>
            <wp:docPr id="1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6"/>
                    <pic:cNvPicPr>
                      <a:picLocks noChangeAspect="1"/>
                    </pic:cNvPicPr>
                  </pic:nvPicPr>
                  <pic:blipFill>
                    <a:blip r:embed="rId46"/>
                    <a:stretch>
                      <a:fillRect/>
                    </a:stretch>
                  </pic:blipFill>
                  <pic:spPr>
                    <a:xfrm>
                      <a:off x="0" y="0"/>
                      <a:ext cx="1457325" cy="25717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466850" cy="295275"/>
            <wp:effectExtent l="0" t="0" r="0" b="7620"/>
            <wp:docPr id="1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7"/>
                    <pic:cNvPicPr>
                      <a:picLocks noChangeAspect="1"/>
                    </pic:cNvPicPr>
                  </pic:nvPicPr>
                  <pic:blipFill>
                    <a:blip r:embed="rId47"/>
                    <a:stretch>
                      <a:fillRect/>
                    </a:stretch>
                  </pic:blipFill>
                  <pic:spPr>
                    <a:xfrm>
                      <a:off x="0" y="0"/>
                      <a:ext cx="1466850" cy="29527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885950" cy="276225"/>
            <wp:effectExtent l="0" t="0" r="0" b="7620"/>
            <wp:docPr id="1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
                    <pic:cNvPicPr>
                      <a:picLocks noChangeAspect="1"/>
                    </pic:cNvPicPr>
                  </pic:nvPicPr>
                  <pic:blipFill>
                    <a:blip r:embed="rId48"/>
                    <a:stretch>
                      <a:fillRect/>
                    </a:stretch>
                  </pic:blipFill>
                  <pic:spPr>
                    <a:xfrm>
                      <a:off x="0" y="0"/>
                      <a:ext cx="1885950" cy="27622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w:t>
      </w:r>
      <w:r>
        <w:rPr>
          <w:rFonts w:hint="default" w:ascii="Times New Roman" w:hAnsi="Times New Roman" w:eastAsia="宋体" w:cs="Times New Roman"/>
          <w:b w:val="0"/>
          <w:bCs w:val="0"/>
          <w:sz w:val="24"/>
          <w:szCs w:val="24"/>
          <w:lang w:val="en-US" w:eastAsia="zh-CN" w:bidi="zh-CN"/>
        </w:rPr>
        <w:drawing>
          <wp:inline distT="0" distB="0" distL="114300" distR="114300">
            <wp:extent cx="257175" cy="228600"/>
            <wp:effectExtent l="0" t="0" r="9525" b="0"/>
            <wp:docPr id="1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9"/>
                    <pic:cNvPicPr>
                      <a:picLocks noChangeAspect="1"/>
                    </pic:cNvPicPr>
                  </pic:nvPicPr>
                  <pic:blipFill>
                    <a:blip r:embed="rId49"/>
                    <a:stretch>
                      <a:fillRect/>
                    </a:stretch>
                  </pic:blipFill>
                  <pic:spPr>
                    <a:xfrm>
                      <a:off x="0" y="0"/>
                      <a:ext cx="257175"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—线路因素引起的修正量，dB(A)；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 xml:space="preserve">     </w:t>
      </w:r>
      <w:r>
        <w:rPr>
          <w:rFonts w:hint="default" w:ascii="Times New Roman" w:hAnsi="Times New Roman" w:eastAsia="宋体" w:cs="Times New Roman"/>
          <w:b w:val="0"/>
          <w:bCs w:val="0"/>
          <w:sz w:val="24"/>
          <w:szCs w:val="24"/>
          <w:lang w:val="en-US" w:eastAsia="zh-CN" w:bidi="zh-CN"/>
        </w:rPr>
        <w:drawing>
          <wp:inline distT="0" distB="0" distL="114300" distR="114300">
            <wp:extent cx="390525" cy="238125"/>
            <wp:effectExtent l="0" t="0" r="9525" b="8255"/>
            <wp:docPr id="19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0"/>
                    <pic:cNvPicPr>
                      <a:picLocks noChangeAspect="1"/>
                    </pic:cNvPicPr>
                  </pic:nvPicPr>
                  <pic:blipFill>
                    <a:blip r:embed="rId50"/>
                    <a:stretch>
                      <a:fillRect/>
                    </a:stretch>
                  </pic:blipFill>
                  <pic:spPr>
                    <a:xfrm>
                      <a:off x="0" y="0"/>
                      <a:ext cx="390525" cy="2381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—道路纵坡修正量，dB(A)；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 xml:space="preserve">     </w:t>
      </w:r>
      <w:r>
        <w:rPr>
          <w:rFonts w:hint="default" w:ascii="Times New Roman" w:hAnsi="Times New Roman" w:eastAsia="宋体" w:cs="Times New Roman"/>
          <w:b w:val="0"/>
          <w:bCs w:val="0"/>
          <w:sz w:val="24"/>
          <w:szCs w:val="24"/>
          <w:lang w:val="en-US" w:eastAsia="zh-CN" w:bidi="zh-CN"/>
        </w:rPr>
        <w:drawing>
          <wp:inline distT="0" distB="0" distL="114300" distR="114300">
            <wp:extent cx="390525" cy="238125"/>
            <wp:effectExtent l="0" t="0" r="0" b="8255"/>
            <wp:docPr id="1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1"/>
                    <pic:cNvPicPr>
                      <a:picLocks noChangeAspect="1"/>
                    </pic:cNvPicPr>
                  </pic:nvPicPr>
                  <pic:blipFill>
                    <a:blip r:embed="rId51"/>
                    <a:stretch>
                      <a:fillRect/>
                    </a:stretch>
                  </pic:blipFill>
                  <pic:spPr>
                    <a:xfrm>
                      <a:off x="0" y="0"/>
                      <a:ext cx="390525" cy="2381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—道路路面材料引起的修正量，dB(A)；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 xml:space="preserve">     </w:t>
      </w:r>
      <w:r>
        <w:rPr>
          <w:rFonts w:hint="default" w:ascii="Times New Roman" w:hAnsi="Times New Roman" w:eastAsia="宋体" w:cs="Times New Roman"/>
          <w:b w:val="0"/>
          <w:bCs w:val="0"/>
          <w:sz w:val="24"/>
          <w:szCs w:val="24"/>
          <w:lang w:val="en-US" w:eastAsia="zh-CN" w:bidi="zh-CN"/>
        </w:rPr>
        <w:drawing>
          <wp:inline distT="0" distB="0" distL="114300" distR="114300">
            <wp:extent cx="266700" cy="228600"/>
            <wp:effectExtent l="0" t="0" r="0" b="0"/>
            <wp:docPr id="1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2"/>
                    <pic:cNvPicPr>
                      <a:picLocks noChangeAspect="1"/>
                    </pic:cNvPicPr>
                  </pic:nvPicPr>
                  <pic:blipFill>
                    <a:blip r:embed="rId52"/>
                    <a:stretch>
                      <a:fillRect/>
                    </a:stretch>
                  </pic:blipFill>
                  <pic:spPr>
                    <a:xfrm>
                      <a:off x="0" y="0"/>
                      <a:ext cx="266700"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—声波传播途径中引起的衰减量，dB(A)；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 xml:space="preserve">     </w:t>
      </w:r>
      <w:r>
        <w:rPr>
          <w:rFonts w:hint="default" w:ascii="Times New Roman" w:hAnsi="Times New Roman" w:eastAsia="宋体" w:cs="Times New Roman"/>
          <w:b w:val="0"/>
          <w:bCs w:val="0"/>
          <w:sz w:val="24"/>
          <w:szCs w:val="24"/>
          <w:lang w:val="en-US" w:eastAsia="zh-CN" w:bidi="zh-CN"/>
        </w:rPr>
        <w:drawing>
          <wp:inline distT="0" distB="0" distL="114300" distR="114300">
            <wp:extent cx="266700" cy="228600"/>
            <wp:effectExtent l="0" t="0" r="0" b="0"/>
            <wp:docPr id="19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3"/>
                    <pic:cNvPicPr>
                      <a:picLocks noChangeAspect="1"/>
                    </pic:cNvPicPr>
                  </pic:nvPicPr>
                  <pic:blipFill>
                    <a:blip r:embed="rId53"/>
                    <a:stretch>
                      <a:fillRect/>
                    </a:stretch>
                  </pic:blipFill>
                  <pic:spPr>
                    <a:xfrm>
                      <a:off x="0" y="0"/>
                      <a:ext cx="266700"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—由反射灯引起的修正量，dB(A)。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（2）总车流等效声级</w:t>
      </w:r>
    </w:p>
    <w:p>
      <w:pPr>
        <w:adjustRightInd w:val="0"/>
        <w:spacing w:line="360" w:lineRule="auto"/>
        <w:ind w:firstLine="420" w:firstLineChars="200"/>
        <w:jc w:val="center"/>
        <w:rPr>
          <w:rFonts w:hint="default" w:ascii="Times New Roman" w:hAnsi="Times New Roman" w:cs="Times New Roman"/>
          <w:b w:val="0"/>
          <w:bCs/>
          <w:sz w:val="21"/>
          <w:szCs w:val="21"/>
        </w:rPr>
      </w:pPr>
      <w:r>
        <w:rPr>
          <w:rFonts w:hint="default" w:ascii="Times New Roman" w:hAnsi="Times New Roman" w:cs="Times New Roman"/>
          <w:b w:val="0"/>
          <w:bCs/>
          <w:position w:val="-14"/>
          <w:sz w:val="21"/>
          <w:szCs w:val="21"/>
        </w:rPr>
        <w:drawing>
          <wp:inline distT="0" distB="0" distL="114300" distR="114300">
            <wp:extent cx="3666490" cy="285750"/>
            <wp:effectExtent l="0" t="0" r="10160" b="0"/>
            <wp:docPr id="19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4"/>
                    <pic:cNvPicPr>
                      <a:picLocks noChangeAspect="1"/>
                    </pic:cNvPicPr>
                  </pic:nvPicPr>
                  <pic:blipFill>
                    <a:blip r:embed="rId54"/>
                    <a:stretch>
                      <a:fillRect/>
                    </a:stretch>
                  </pic:blipFill>
                  <pic:spPr>
                    <a:xfrm>
                      <a:off x="0" y="0"/>
                      <a:ext cx="3666490" cy="28575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车型分类</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车型分类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大</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中</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小型车</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方法见下表。</w:t>
      </w:r>
      <w:bookmarkStart w:id="109" w:name="_Ref339878045"/>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表4.4-4 </w:t>
      </w:r>
      <w:r>
        <w:rPr>
          <w:rFonts w:hint="default" w:ascii="Times New Roman" w:hAnsi="Times New Roman" w:eastAsia="宋体" w:cs="Times New Roman"/>
          <w:b/>
          <w:bCs w:val="0"/>
          <w:kern w:val="0"/>
          <w:sz w:val="21"/>
          <w:szCs w:val="21"/>
        </w:rPr>
        <w:t>车型分类</w:t>
      </w:r>
      <w:bookmarkEnd w:id="109"/>
    </w:p>
    <w:tbl>
      <w:tblPr>
        <w:tblStyle w:val="17"/>
        <w:tblW w:w="45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Layout w:type="fixed"/>
        <w:tblCellMar>
          <w:top w:w="0" w:type="dxa"/>
          <w:left w:w="108" w:type="dxa"/>
          <w:bottom w:w="0" w:type="dxa"/>
          <w:right w:w="108" w:type="dxa"/>
        </w:tblCellMar>
      </w:tblPr>
      <w:tblGrid>
        <w:gridCol w:w="4020"/>
        <w:gridCol w:w="473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4198"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车型</w:t>
            </w:r>
          </w:p>
        </w:tc>
        <w:tc>
          <w:tcPr>
            <w:tcW w:w="4957"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汽车总质量</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58" w:hRule="atLeast"/>
          <w:jc w:val="center"/>
        </w:trPr>
        <w:tc>
          <w:tcPr>
            <w:tcW w:w="4198"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小型车</w:t>
            </w:r>
          </w:p>
        </w:tc>
        <w:tc>
          <w:tcPr>
            <w:tcW w:w="4957"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3.5t以下，M1</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M2</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N1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58" w:hRule="atLeast"/>
          <w:jc w:val="center"/>
        </w:trPr>
        <w:tc>
          <w:tcPr>
            <w:tcW w:w="4198"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中型车</w:t>
            </w:r>
          </w:p>
        </w:tc>
        <w:tc>
          <w:tcPr>
            <w:tcW w:w="4957"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3.5t以上～12t，M2</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M3</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N2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4198"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大型车</w:t>
            </w:r>
          </w:p>
        </w:tc>
        <w:tc>
          <w:tcPr>
            <w:tcW w:w="4957"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12t以上，N3</w:t>
            </w:r>
          </w:p>
        </w:tc>
      </w:tr>
    </w:tbl>
    <w:p>
      <w:pPr>
        <w:ind w:firstLine="0" w:firstLineChars="0"/>
        <w:jc w:val="left"/>
        <w:rPr>
          <w:rFonts w:hint="default" w:ascii="Times New Roman" w:hAnsi="Times New Roman" w:cs="Times New Roman"/>
          <w:b w:val="0"/>
          <w:bCs/>
          <w:sz w:val="21"/>
          <w:szCs w:val="21"/>
        </w:rPr>
      </w:pPr>
      <w:r>
        <w:rPr>
          <w:rFonts w:hint="default" w:ascii="Times New Roman" w:hAnsi="Times New Roman" w:cs="Times New Roman"/>
          <w:b w:val="0"/>
          <w:bCs/>
          <w:sz w:val="21"/>
          <w:szCs w:val="21"/>
        </w:rPr>
        <w:t>注：M1</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M2</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M3</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N1</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N2</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N3和GB895划定方法相一致，摩托车</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拖拉机等应另外归类</w:t>
      </w:r>
    </w:p>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修正量和衰减量的计算</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（1）线路因素引起的修正量</w:t>
      </w:r>
      <w:r>
        <w:rPr>
          <w:rFonts w:hint="default" w:ascii="Times New Roman" w:hAnsi="Times New Roman" w:eastAsia="宋体" w:cs="Times New Roman"/>
          <w:b w:val="0"/>
          <w:bCs w:val="0"/>
          <w:sz w:val="24"/>
          <w:szCs w:val="24"/>
          <w:lang w:val="en-US" w:eastAsia="zh-CN" w:bidi="zh-CN"/>
        </w:rPr>
        <w:drawing>
          <wp:inline distT="0" distB="0" distL="114300" distR="114300">
            <wp:extent cx="257175" cy="228600"/>
            <wp:effectExtent l="0" t="0" r="9525" b="0"/>
            <wp:docPr id="1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5"/>
                    <pic:cNvPicPr>
                      <a:picLocks noChangeAspect="1"/>
                    </pic:cNvPicPr>
                  </pic:nvPicPr>
                  <pic:blipFill>
                    <a:blip r:embed="rId49"/>
                    <a:stretch>
                      <a:fillRect/>
                    </a:stretch>
                  </pic:blipFill>
                  <pic:spPr>
                    <a:xfrm>
                      <a:off x="0" y="0"/>
                      <a:ext cx="257175" cy="22860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1）道路纵坡修正量</w:t>
      </w:r>
      <w:r>
        <w:rPr>
          <w:rFonts w:hint="default" w:ascii="Times New Roman" w:hAnsi="Times New Roman" w:eastAsia="宋体" w:cs="Times New Roman"/>
          <w:b w:val="0"/>
          <w:bCs w:val="0"/>
          <w:sz w:val="24"/>
          <w:szCs w:val="24"/>
          <w:lang w:val="en-US" w:eastAsia="zh-CN" w:bidi="zh-CN"/>
        </w:rPr>
        <w:drawing>
          <wp:inline distT="0" distB="0" distL="114300" distR="114300">
            <wp:extent cx="390525" cy="238125"/>
            <wp:effectExtent l="0" t="0" r="9525" b="8255"/>
            <wp:docPr id="1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6"/>
                    <pic:cNvPicPr>
                      <a:picLocks noChangeAspect="1"/>
                    </pic:cNvPicPr>
                  </pic:nvPicPr>
                  <pic:blipFill>
                    <a:blip r:embed="rId50"/>
                    <a:stretch>
                      <a:fillRect/>
                    </a:stretch>
                  </pic:blipFill>
                  <pic:spPr>
                    <a:xfrm>
                      <a:off x="0" y="0"/>
                      <a:ext cx="390525" cy="23812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道路纵坡修正量</w:t>
      </w:r>
      <w:r>
        <w:rPr>
          <w:rFonts w:hint="default" w:ascii="Times New Roman" w:hAnsi="Times New Roman" w:eastAsia="宋体" w:cs="Times New Roman"/>
          <w:b w:val="0"/>
          <w:bCs w:val="0"/>
          <w:sz w:val="24"/>
          <w:szCs w:val="24"/>
          <w:lang w:val="en-US" w:eastAsia="zh-CN" w:bidi="zh-CN"/>
        </w:rPr>
        <w:drawing>
          <wp:inline distT="0" distB="0" distL="114300" distR="114300">
            <wp:extent cx="390525" cy="238125"/>
            <wp:effectExtent l="0" t="0" r="9525" b="8255"/>
            <wp:docPr id="19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7"/>
                    <pic:cNvPicPr>
                      <a:picLocks noChangeAspect="1"/>
                    </pic:cNvPicPr>
                  </pic:nvPicPr>
                  <pic:blipFill>
                    <a:blip r:embed="rId50"/>
                    <a:stretch>
                      <a:fillRect/>
                    </a:stretch>
                  </pic:blipFill>
                  <pic:spPr>
                    <a:xfrm>
                      <a:off x="0" y="0"/>
                      <a:ext cx="390525" cy="2381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可按下式计算：</w:t>
      </w:r>
    </w:p>
    <w:p>
      <w:pPr>
        <w:adjustRightInd w:val="0"/>
        <w:spacing w:line="360" w:lineRule="auto"/>
        <w:ind w:firstLine="420" w:firstLineChars="20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大型车：</w:t>
      </w:r>
      <w:r>
        <w:rPr>
          <w:rFonts w:hint="default" w:ascii="Times New Roman" w:hAnsi="Times New Roman" w:cs="Times New Roman"/>
          <w:b w:val="0"/>
          <w:bCs/>
          <w:position w:val="-14"/>
          <w:sz w:val="21"/>
          <w:szCs w:val="21"/>
        </w:rPr>
        <w:drawing>
          <wp:inline distT="0" distB="0" distL="114300" distR="114300">
            <wp:extent cx="1123950" cy="295275"/>
            <wp:effectExtent l="0" t="0" r="0" b="7620"/>
            <wp:docPr id="19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8"/>
                    <pic:cNvPicPr>
                      <a:picLocks noChangeAspect="1"/>
                    </pic:cNvPicPr>
                  </pic:nvPicPr>
                  <pic:blipFill>
                    <a:blip r:embed="rId55"/>
                    <a:stretch>
                      <a:fillRect/>
                    </a:stretch>
                  </pic:blipFill>
                  <pic:spPr>
                    <a:xfrm>
                      <a:off x="0" y="0"/>
                      <a:ext cx="1123950" cy="295275"/>
                    </a:xfrm>
                    <a:prstGeom prst="rect">
                      <a:avLst/>
                    </a:prstGeom>
                    <a:noFill/>
                    <a:ln>
                      <a:noFill/>
                    </a:ln>
                  </pic:spPr>
                </pic:pic>
              </a:graphicData>
            </a:graphic>
          </wp:inline>
        </w:drawing>
      </w:r>
      <w:r>
        <w:rPr>
          <w:rFonts w:hint="default" w:ascii="Times New Roman" w:hAnsi="Times New Roman" w:cs="Times New Roman"/>
          <w:b w:val="0"/>
          <w:bCs/>
          <w:sz w:val="21"/>
          <w:szCs w:val="21"/>
        </w:rPr>
        <w:t xml:space="preserve">   dB（A）</w:t>
      </w:r>
    </w:p>
    <w:p>
      <w:pPr>
        <w:adjustRightInd w:val="0"/>
        <w:spacing w:line="360" w:lineRule="auto"/>
        <w:ind w:firstLine="420" w:firstLineChars="20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中型车：</w:t>
      </w:r>
      <w:r>
        <w:rPr>
          <w:rFonts w:hint="default" w:ascii="Times New Roman" w:hAnsi="Times New Roman" w:cs="Times New Roman"/>
          <w:b w:val="0"/>
          <w:bCs/>
          <w:position w:val="-14"/>
          <w:sz w:val="21"/>
          <w:szCs w:val="21"/>
        </w:rPr>
        <w:drawing>
          <wp:inline distT="0" distB="0" distL="114300" distR="114300">
            <wp:extent cx="1047750" cy="276225"/>
            <wp:effectExtent l="0" t="0" r="0" b="0"/>
            <wp:docPr id="19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9"/>
                    <pic:cNvPicPr>
                      <a:picLocks noChangeAspect="1"/>
                    </pic:cNvPicPr>
                  </pic:nvPicPr>
                  <pic:blipFill>
                    <a:blip r:embed="rId56"/>
                    <a:stretch>
                      <a:fillRect/>
                    </a:stretch>
                  </pic:blipFill>
                  <pic:spPr>
                    <a:xfrm>
                      <a:off x="0" y="0"/>
                      <a:ext cx="1047750" cy="276225"/>
                    </a:xfrm>
                    <a:prstGeom prst="rect">
                      <a:avLst/>
                    </a:prstGeom>
                    <a:noFill/>
                    <a:ln>
                      <a:noFill/>
                    </a:ln>
                  </pic:spPr>
                </pic:pic>
              </a:graphicData>
            </a:graphic>
          </wp:inline>
        </w:drawing>
      </w:r>
      <w:r>
        <w:rPr>
          <w:rFonts w:hint="default" w:ascii="Times New Roman" w:hAnsi="Times New Roman" w:cs="Times New Roman"/>
          <w:b w:val="0"/>
          <w:bCs/>
          <w:sz w:val="21"/>
          <w:szCs w:val="21"/>
        </w:rPr>
        <w:t xml:space="preserve">    dB（A）</w:t>
      </w:r>
    </w:p>
    <w:p>
      <w:pPr>
        <w:adjustRightInd w:val="0"/>
        <w:spacing w:line="360" w:lineRule="auto"/>
        <w:ind w:firstLine="420" w:firstLineChars="20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小型车：</w:t>
      </w:r>
      <w:r>
        <w:rPr>
          <w:rFonts w:hint="default" w:ascii="Times New Roman" w:hAnsi="Times New Roman" w:cs="Times New Roman"/>
          <w:b w:val="0"/>
          <w:bCs/>
          <w:position w:val="-14"/>
          <w:sz w:val="21"/>
          <w:szCs w:val="21"/>
        </w:rPr>
        <w:drawing>
          <wp:inline distT="0" distB="0" distL="114300" distR="114300">
            <wp:extent cx="1038225" cy="266700"/>
            <wp:effectExtent l="0" t="0" r="9525" b="0"/>
            <wp:docPr id="20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0"/>
                    <pic:cNvPicPr>
                      <a:picLocks noChangeAspect="1"/>
                    </pic:cNvPicPr>
                  </pic:nvPicPr>
                  <pic:blipFill>
                    <a:blip r:embed="rId57"/>
                    <a:stretch>
                      <a:fillRect/>
                    </a:stretch>
                  </pic:blipFill>
                  <pic:spPr>
                    <a:xfrm>
                      <a:off x="0" y="0"/>
                      <a:ext cx="1038225" cy="266700"/>
                    </a:xfrm>
                    <a:prstGeom prst="rect">
                      <a:avLst/>
                    </a:prstGeom>
                    <a:noFill/>
                    <a:ln>
                      <a:noFill/>
                    </a:ln>
                  </pic:spPr>
                </pic:pic>
              </a:graphicData>
            </a:graphic>
          </wp:inline>
        </w:drawing>
      </w:r>
      <w:r>
        <w:rPr>
          <w:rFonts w:hint="default" w:ascii="Times New Roman" w:hAnsi="Times New Roman" w:cs="Times New Roman"/>
          <w:b w:val="0"/>
          <w:bCs/>
          <w:sz w:val="21"/>
          <w:szCs w:val="21"/>
        </w:rPr>
        <w:t xml:space="preserve">    dB（A）</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w:t>
      </w:r>
      <w:r>
        <w:rPr>
          <w:rFonts w:hint="default" w:ascii="Times New Roman" w:hAnsi="Times New Roman" w:eastAsia="宋体" w:cs="Times New Roman"/>
          <w:b w:val="0"/>
          <w:bCs w:val="0"/>
          <w:sz w:val="24"/>
          <w:szCs w:val="24"/>
          <w:lang w:val="en-US" w:eastAsia="zh-CN" w:bidi="zh-CN"/>
        </w:rPr>
        <w:drawing>
          <wp:inline distT="0" distB="0" distL="114300" distR="114300">
            <wp:extent cx="152400" cy="200025"/>
            <wp:effectExtent l="0" t="0" r="0" b="7620"/>
            <wp:docPr id="2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1"/>
                    <pic:cNvPicPr>
                      <a:picLocks noChangeAspect="1"/>
                    </pic:cNvPicPr>
                  </pic:nvPicPr>
                  <pic:blipFill>
                    <a:blip r:embed="rId58"/>
                    <a:stretch>
                      <a:fillRect/>
                    </a:stretch>
                  </pic:blipFill>
                  <pic:spPr>
                    <a:xfrm>
                      <a:off x="0" y="0"/>
                      <a:ext cx="152400" cy="2000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—道路纵坡坡度，%</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2）道路路面修正量</w:t>
      </w:r>
      <w:r>
        <w:rPr>
          <w:rFonts w:hint="default" w:ascii="Times New Roman" w:hAnsi="Times New Roman" w:eastAsia="宋体" w:cs="Times New Roman"/>
          <w:b w:val="0"/>
          <w:bCs w:val="0"/>
          <w:sz w:val="24"/>
          <w:szCs w:val="24"/>
          <w:lang w:val="en-US" w:eastAsia="zh-CN" w:bidi="zh-CN"/>
        </w:rPr>
        <w:drawing>
          <wp:inline distT="0" distB="0" distL="114300" distR="114300">
            <wp:extent cx="390525" cy="238125"/>
            <wp:effectExtent l="0" t="0" r="0" b="8255"/>
            <wp:docPr id="2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2"/>
                    <pic:cNvPicPr>
                      <a:picLocks noChangeAspect="1"/>
                    </pic:cNvPicPr>
                  </pic:nvPicPr>
                  <pic:blipFill>
                    <a:blip r:embed="rId59"/>
                    <a:stretch>
                      <a:fillRect/>
                    </a:stretch>
                  </pic:blipFill>
                  <pic:spPr>
                    <a:xfrm>
                      <a:off x="0" y="0"/>
                      <a:ext cx="390525" cy="23812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不同路面的修正量如下表。</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bookmarkStart w:id="110" w:name="_Ref421816009"/>
      <w:r>
        <w:rPr>
          <w:rFonts w:hint="eastAsia" w:ascii="Times New Roman" w:hAnsi="Times New Roman" w:cs="Times New Roman"/>
          <w:b/>
          <w:bCs w:val="0"/>
          <w:kern w:val="0"/>
          <w:sz w:val="21"/>
          <w:szCs w:val="21"/>
          <w:lang w:val="en-US" w:eastAsia="zh-CN"/>
        </w:rPr>
        <w:t xml:space="preserve">表4.4-5 </w:t>
      </w:r>
      <w:r>
        <w:rPr>
          <w:rFonts w:hint="default" w:ascii="Times New Roman" w:hAnsi="Times New Roman" w:eastAsia="宋体" w:cs="Times New Roman"/>
          <w:b/>
          <w:bCs w:val="0"/>
          <w:kern w:val="0"/>
          <w:sz w:val="21"/>
          <w:szCs w:val="21"/>
        </w:rPr>
        <w:t>常见路面噪声修正量           单位：dB（A）</w:t>
      </w:r>
      <w:bookmarkEnd w:id="110"/>
    </w:p>
    <w:tbl>
      <w:tblPr>
        <w:tblStyle w:val="17"/>
        <w:tblW w:w="475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Layout w:type="fixed"/>
        <w:tblCellMar>
          <w:top w:w="0" w:type="dxa"/>
          <w:left w:w="108" w:type="dxa"/>
          <w:bottom w:w="0" w:type="dxa"/>
          <w:right w:w="108" w:type="dxa"/>
        </w:tblCellMar>
      </w:tblPr>
      <w:tblGrid>
        <w:gridCol w:w="4443"/>
        <w:gridCol w:w="1674"/>
        <w:gridCol w:w="1514"/>
        <w:gridCol w:w="161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58" w:hRule="atLeast"/>
          <w:jc w:val="center"/>
        </w:trPr>
        <w:tc>
          <w:tcPr>
            <w:tcW w:w="4454" w:type="dxa"/>
            <w:vMerge w:val="restar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路    面</w:t>
            </w:r>
          </w:p>
        </w:tc>
        <w:tc>
          <w:tcPr>
            <w:tcW w:w="4701" w:type="dxa"/>
            <w:gridSpan w:val="3"/>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不同行驶速度修正量km/h</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4454" w:type="dxa"/>
            <w:vMerge w:val="continue"/>
            <w:tcBorders>
              <w:tl2br w:val="nil"/>
              <w:tr2bl w:val="nil"/>
            </w:tcBorders>
            <w:noWrap w:val="0"/>
            <w:vAlign w:val="center"/>
          </w:tcPr>
          <w:p>
            <w:pPr>
              <w:jc w:val="center"/>
              <w:rPr>
                <w:rFonts w:hint="default" w:ascii="Times New Roman" w:hAnsi="Times New Roman" w:cs="Times New Roman"/>
                <w:b w:val="0"/>
                <w:bCs/>
                <w:sz w:val="21"/>
                <w:szCs w:val="21"/>
              </w:rPr>
            </w:pPr>
          </w:p>
        </w:tc>
        <w:tc>
          <w:tcPr>
            <w:tcW w:w="1642"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30</w:t>
            </w:r>
          </w:p>
        </w:tc>
        <w:tc>
          <w:tcPr>
            <w:tcW w:w="1481"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w:t>
            </w:r>
          </w:p>
        </w:tc>
        <w:tc>
          <w:tcPr>
            <w:tcW w:w="1578"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trHeight w:val="58" w:hRule="atLeast"/>
          <w:jc w:val="center"/>
        </w:trPr>
        <w:tc>
          <w:tcPr>
            <w:tcW w:w="4454"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沥青混凝土路面</w:t>
            </w:r>
          </w:p>
        </w:tc>
        <w:tc>
          <w:tcPr>
            <w:tcW w:w="1642"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w:t>
            </w:r>
          </w:p>
        </w:tc>
        <w:tc>
          <w:tcPr>
            <w:tcW w:w="1481"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w:t>
            </w:r>
          </w:p>
        </w:tc>
        <w:tc>
          <w:tcPr>
            <w:tcW w:w="1578"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2" w:space="0"/>
          </w:tblBorders>
          <w:tblCellMar>
            <w:top w:w="0" w:type="dxa"/>
            <w:left w:w="108" w:type="dxa"/>
            <w:bottom w:w="0" w:type="dxa"/>
            <w:right w:w="108" w:type="dxa"/>
          </w:tblCellMar>
        </w:tblPrEx>
        <w:trPr>
          <w:jc w:val="center"/>
        </w:trPr>
        <w:tc>
          <w:tcPr>
            <w:tcW w:w="4454"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水泥混凝土路面</w:t>
            </w:r>
          </w:p>
        </w:tc>
        <w:tc>
          <w:tcPr>
            <w:tcW w:w="1642"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w:t>
            </w:r>
          </w:p>
        </w:tc>
        <w:tc>
          <w:tcPr>
            <w:tcW w:w="1481"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1.5</w:t>
            </w:r>
          </w:p>
        </w:tc>
        <w:tc>
          <w:tcPr>
            <w:tcW w:w="1578"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w:t>
            </w:r>
          </w:p>
        </w:tc>
      </w:tr>
    </w:tbl>
    <w:p>
      <w:pPr>
        <w:ind w:firstLine="0" w:firstLineChars="0"/>
        <w:jc w:val="left"/>
        <w:rPr>
          <w:rFonts w:hint="default" w:ascii="Times New Roman" w:hAnsi="Times New Roman" w:cs="Times New Roman"/>
          <w:b w:val="0"/>
          <w:bCs/>
          <w:sz w:val="21"/>
          <w:szCs w:val="21"/>
        </w:rPr>
      </w:pPr>
      <w:r>
        <w:rPr>
          <w:rFonts w:hint="default" w:ascii="Times New Roman" w:hAnsi="Times New Roman" w:cs="Times New Roman"/>
          <w:b w:val="0"/>
          <w:bCs/>
          <w:sz w:val="21"/>
          <w:szCs w:val="21"/>
        </w:rPr>
        <w:t>注：表中修正量为</w:t>
      </w:r>
      <w:r>
        <w:rPr>
          <w:rFonts w:hint="default" w:ascii="Times New Roman" w:hAnsi="Times New Roman" w:cs="Times New Roman"/>
          <w:b w:val="0"/>
          <w:bCs/>
          <w:position w:val="-12"/>
          <w:sz w:val="21"/>
          <w:szCs w:val="21"/>
        </w:rPr>
        <w:drawing>
          <wp:inline distT="0" distB="0" distL="114300" distR="114300">
            <wp:extent cx="381000" cy="257175"/>
            <wp:effectExtent l="0" t="0" r="0" b="8255"/>
            <wp:docPr id="20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3"/>
                    <pic:cNvPicPr>
                      <a:picLocks noChangeAspect="1"/>
                    </pic:cNvPicPr>
                  </pic:nvPicPr>
                  <pic:blipFill>
                    <a:blip r:embed="rId60"/>
                    <a:stretch>
                      <a:fillRect/>
                    </a:stretch>
                  </pic:blipFill>
                  <pic:spPr>
                    <a:xfrm>
                      <a:off x="0" y="0"/>
                      <a:ext cx="381000" cy="257175"/>
                    </a:xfrm>
                    <a:prstGeom prst="rect">
                      <a:avLst/>
                    </a:prstGeom>
                    <a:noFill/>
                    <a:ln>
                      <a:noFill/>
                    </a:ln>
                  </pic:spPr>
                </pic:pic>
              </a:graphicData>
            </a:graphic>
          </wp:inline>
        </w:drawing>
      </w:r>
      <w:r>
        <w:rPr>
          <w:rFonts w:hint="default" w:ascii="Times New Roman" w:hAnsi="Times New Roman" w:cs="Times New Roman"/>
          <w:b w:val="0"/>
          <w:bCs/>
          <w:sz w:val="21"/>
          <w:szCs w:val="21"/>
        </w:rPr>
        <w:t>在沥青混凝土路面测得结果的修正。</w:t>
      </w:r>
    </w:p>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（2）声波传播途径中引起的衰减量</w:t>
      </w:r>
      <w:r>
        <w:rPr>
          <w:rFonts w:hint="default" w:ascii="Times New Roman" w:hAnsi="Times New Roman" w:eastAsia="宋体" w:cs="Times New Roman"/>
          <w:b w:val="0"/>
          <w:bCs w:val="0"/>
          <w:sz w:val="24"/>
          <w:szCs w:val="24"/>
          <w:lang w:val="en-US" w:eastAsia="zh-CN" w:bidi="zh-CN"/>
        </w:rPr>
        <w:drawing>
          <wp:inline distT="0" distB="0" distL="114300" distR="114300">
            <wp:extent cx="266700" cy="228600"/>
            <wp:effectExtent l="0" t="0" r="0" b="0"/>
            <wp:docPr id="2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4"/>
                    <pic:cNvPicPr>
                      <a:picLocks noChangeAspect="1"/>
                    </pic:cNvPicPr>
                  </pic:nvPicPr>
                  <pic:blipFill>
                    <a:blip r:embed="rId61"/>
                    <a:stretch>
                      <a:fillRect/>
                    </a:stretch>
                  </pic:blipFill>
                  <pic:spPr>
                    <a:xfrm>
                      <a:off x="0" y="0"/>
                      <a:ext cx="266700" cy="22860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1）障碍物衰减量</w:t>
      </w:r>
      <w:r>
        <w:rPr>
          <w:rFonts w:hint="default" w:ascii="Times New Roman" w:hAnsi="Times New Roman" w:eastAsia="宋体" w:cs="Times New Roman"/>
          <w:b w:val="0"/>
          <w:bCs w:val="0"/>
          <w:sz w:val="24"/>
          <w:szCs w:val="24"/>
          <w:lang w:val="en-US" w:eastAsia="zh-CN" w:bidi="zh-CN"/>
        </w:rPr>
        <w:drawing>
          <wp:inline distT="0" distB="0" distL="114300" distR="114300">
            <wp:extent cx="257175" cy="228600"/>
            <wp:effectExtent l="0" t="0" r="8890" b="0"/>
            <wp:docPr id="20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35"/>
                    <pic:cNvPicPr>
                      <a:picLocks noChangeAspect="1"/>
                    </pic:cNvPicPr>
                  </pic:nvPicPr>
                  <pic:blipFill>
                    <a:blip r:embed="rId62"/>
                    <a:stretch>
                      <a:fillRect/>
                    </a:stretch>
                  </pic:blipFill>
                  <pic:spPr>
                    <a:xfrm>
                      <a:off x="0" y="0"/>
                      <a:ext cx="257175" cy="22860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声屏障衰减量</w:t>
      </w:r>
      <w:r>
        <w:rPr>
          <w:rFonts w:hint="default" w:ascii="Times New Roman" w:hAnsi="Times New Roman" w:eastAsia="宋体" w:cs="Times New Roman"/>
          <w:b w:val="0"/>
          <w:bCs w:val="0"/>
          <w:sz w:val="24"/>
          <w:szCs w:val="24"/>
          <w:lang w:val="en-US" w:eastAsia="zh-CN" w:bidi="zh-CN"/>
        </w:rPr>
        <w:drawing>
          <wp:inline distT="0" distB="0" distL="114300" distR="114300">
            <wp:extent cx="257175" cy="228600"/>
            <wp:effectExtent l="0" t="0" r="8890" b="0"/>
            <wp:docPr id="20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6"/>
                    <pic:cNvPicPr>
                      <a:picLocks noChangeAspect="1"/>
                    </pic:cNvPicPr>
                  </pic:nvPicPr>
                  <pic:blipFill>
                    <a:blip r:embed="rId63"/>
                    <a:stretch>
                      <a:fillRect/>
                    </a:stretch>
                  </pic:blipFill>
                  <pic:spPr>
                    <a:xfrm>
                      <a:off x="0" y="0"/>
                      <a:ext cx="257175"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的计算</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无限长声屏障可按下式计算：</w:t>
      </w:r>
    </w:p>
    <w:p>
      <w:pPr>
        <w:adjustRightInd w:val="0"/>
        <w:spacing w:line="360" w:lineRule="auto"/>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drawing>
          <wp:inline distT="0" distB="0" distL="114300" distR="114300">
            <wp:extent cx="3981450" cy="1304925"/>
            <wp:effectExtent l="0" t="0" r="0" b="9525"/>
            <wp:docPr id="20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7"/>
                    <pic:cNvPicPr>
                      <a:picLocks noChangeAspect="1"/>
                    </pic:cNvPicPr>
                  </pic:nvPicPr>
                  <pic:blipFill>
                    <a:blip r:embed="rId64"/>
                    <a:stretch>
                      <a:fillRect/>
                    </a:stretch>
                  </pic:blipFill>
                  <pic:spPr>
                    <a:xfrm>
                      <a:off x="0" y="0"/>
                      <a:ext cx="3981450" cy="130492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式中：f—声波频率，HZ；</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 xml:space="preserve">      δ—声程差，m；</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 xml:space="preserve">      c—声速，m/s。</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在道路建设项目评价中可采用500HZ频率的声波计算得到的屏障衰减量近似作为A声级的衰减量。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有限长声屏障计算：</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Abar由上述公式计算后，根据下图进行修正。修正后的Abar取决于遮蔽角β/0。下图中虚线</w:t>
      </w:r>
      <w:r>
        <w:rPr>
          <w:rFonts w:hint="eastAsia" w:ascii="Times New Roman" w:hAnsi="Times New Roman" w:cs="Times New Roman"/>
          <w:b w:val="0"/>
          <w:bCs w:val="0"/>
          <w:sz w:val="24"/>
          <w:szCs w:val="24"/>
          <w:lang w:val="en-US" w:eastAsia="zh-CN" w:bidi="zh-CN"/>
        </w:rPr>
        <w:t>表示</w:t>
      </w:r>
      <w:r>
        <w:rPr>
          <w:rFonts w:hint="default" w:ascii="Times New Roman" w:hAnsi="Times New Roman" w:eastAsia="宋体" w:cs="Times New Roman"/>
          <w:b w:val="0"/>
          <w:bCs w:val="0"/>
          <w:sz w:val="24"/>
          <w:szCs w:val="24"/>
          <w:lang w:val="en-US" w:eastAsia="zh-CN" w:bidi="zh-CN"/>
        </w:rPr>
        <w:t>：无限长屏障声衰减为8.5dB(A)，若有限长声屏障对应的遮蔽角百分率为92%，则有限长声屏障的声衰减为6.6dB(A)。</w:t>
      </w:r>
    </w:p>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drawing>
          <wp:inline distT="0" distB="0" distL="114300" distR="114300">
            <wp:extent cx="2971800" cy="3667125"/>
            <wp:effectExtent l="0" t="0" r="0" b="9525"/>
            <wp:docPr id="20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8"/>
                    <pic:cNvPicPr>
                      <a:picLocks noChangeAspect="1"/>
                    </pic:cNvPicPr>
                  </pic:nvPicPr>
                  <pic:blipFill>
                    <a:blip r:embed="rId65"/>
                    <a:srcRect r="4172"/>
                    <a:stretch>
                      <a:fillRect/>
                    </a:stretch>
                  </pic:blipFill>
                  <pic:spPr>
                    <a:xfrm>
                      <a:off x="0" y="0"/>
                      <a:ext cx="2971800" cy="3667125"/>
                    </a:xfrm>
                    <a:prstGeom prst="rect">
                      <a:avLst/>
                    </a:prstGeom>
                    <a:noFill/>
                    <a:ln>
                      <a:noFill/>
                    </a:ln>
                  </pic:spPr>
                </pic:pic>
              </a:graphicData>
            </a:graphic>
          </wp:inline>
        </w:drawing>
      </w:r>
      <w:r>
        <w:rPr>
          <w:rFonts w:hint="default" w:ascii="Times New Roman" w:hAnsi="Times New Roman" w:cs="Times New Roman"/>
          <w:b w:val="0"/>
          <w:bCs/>
          <w:sz w:val="21"/>
          <w:szCs w:val="21"/>
        </w:rPr>
        <w:drawing>
          <wp:inline distT="0" distB="0" distL="114300" distR="114300">
            <wp:extent cx="2171700" cy="1914525"/>
            <wp:effectExtent l="0" t="0" r="0" b="9525"/>
            <wp:docPr id="20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39"/>
                    <pic:cNvPicPr>
                      <a:picLocks noChangeAspect="1"/>
                    </pic:cNvPicPr>
                  </pic:nvPicPr>
                  <pic:blipFill>
                    <a:blip r:embed="rId66"/>
                    <a:srcRect t="13484" r="10623"/>
                    <a:stretch>
                      <a:fillRect/>
                    </a:stretch>
                  </pic:blipFill>
                  <pic:spPr>
                    <a:xfrm>
                      <a:off x="0" y="0"/>
                      <a:ext cx="2171700" cy="1914525"/>
                    </a:xfrm>
                    <a:prstGeom prst="rect">
                      <a:avLst/>
                    </a:prstGeom>
                    <a:noFill/>
                    <a:ln>
                      <a:noFill/>
                    </a:ln>
                  </pic:spPr>
                </pic:pic>
              </a:graphicData>
            </a:graphic>
          </wp:inline>
        </w:drawing>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图4.4-2 </w:t>
      </w:r>
      <w:r>
        <w:rPr>
          <w:rFonts w:hint="default" w:ascii="Times New Roman" w:hAnsi="Times New Roman" w:eastAsia="宋体" w:cs="Times New Roman"/>
          <w:b/>
          <w:bCs w:val="0"/>
          <w:kern w:val="0"/>
          <w:sz w:val="21"/>
          <w:szCs w:val="21"/>
        </w:rPr>
        <w:t>有限长度的声屏障及线声源的修正图</w:t>
      </w:r>
    </w:p>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B</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高路堤或低路堑两侧声影区衰减量计算</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高路地或低路堑两侧声影区衰减量Abar为预测点在高路堤或低路堑两侧声影区引起的附加衰减量。计算如下：</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首先判断预测点是在声照区或声影区（如图4-3和4-4所示）。</w:t>
      </w:r>
    </w:p>
    <w:p>
      <w:pPr>
        <w:adjustRightInd w:val="0"/>
        <w:jc w:val="center"/>
        <w:rPr>
          <w:rFonts w:hint="default" w:ascii="Times New Roman" w:hAnsi="Times New Roman" w:cs="Times New Roman"/>
          <w:b w:val="0"/>
          <w:bCs/>
          <w:szCs w:val="21"/>
        </w:rPr>
      </w:pPr>
      <w:r>
        <w:rPr>
          <w:rFonts w:hint="default" w:ascii="Times New Roman" w:hAnsi="Times New Roman" w:cs="Times New Roman"/>
          <w:b w:val="0"/>
          <w:bCs/>
          <w:szCs w:val="21"/>
        </w:rPr>
        <w:drawing>
          <wp:inline distT="0" distB="0" distL="114300" distR="114300">
            <wp:extent cx="3604260" cy="1524635"/>
            <wp:effectExtent l="0" t="0" r="15240" b="18415"/>
            <wp:docPr id="2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0"/>
                    <pic:cNvPicPr>
                      <a:picLocks noChangeAspect="1"/>
                    </pic:cNvPicPr>
                  </pic:nvPicPr>
                  <pic:blipFill>
                    <a:blip r:embed="rId67"/>
                    <a:stretch>
                      <a:fillRect/>
                    </a:stretch>
                  </pic:blipFill>
                  <pic:spPr>
                    <a:xfrm>
                      <a:off x="0" y="0"/>
                      <a:ext cx="3604260" cy="1524635"/>
                    </a:xfrm>
                    <a:prstGeom prst="rect">
                      <a:avLst/>
                    </a:prstGeom>
                    <a:noFill/>
                    <a:ln>
                      <a:noFill/>
                    </a:ln>
                  </pic:spPr>
                </pic:pic>
              </a:graphicData>
            </a:graphic>
          </wp:inline>
        </w:drawing>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图4.4-3 </w:t>
      </w:r>
      <w:r>
        <w:rPr>
          <w:rFonts w:hint="default" w:ascii="Times New Roman" w:hAnsi="Times New Roman" w:eastAsia="宋体" w:cs="Times New Roman"/>
          <w:b/>
          <w:bCs w:val="0"/>
          <w:kern w:val="0"/>
          <w:sz w:val="21"/>
          <w:szCs w:val="21"/>
        </w:rPr>
        <w:t>高路堤声照区及声影区示意图</w:t>
      </w:r>
    </w:p>
    <w:p>
      <w:pPr>
        <w:adjustRightInd w:val="0"/>
        <w:ind w:firstLine="0" w:firstLineChars="0"/>
        <w:jc w:val="left"/>
        <w:rPr>
          <w:rFonts w:hint="default" w:ascii="Times New Roman" w:hAnsi="Times New Roman" w:cs="Times New Roman"/>
          <w:b w:val="0"/>
          <w:bCs/>
          <w:sz w:val="21"/>
          <w:szCs w:val="21"/>
        </w:rPr>
      </w:pPr>
      <w:r>
        <w:rPr>
          <w:rFonts w:hint="default" w:ascii="Times New Roman" w:hAnsi="Times New Roman" w:cs="Times New Roman"/>
          <w:b w:val="0"/>
          <w:bCs/>
          <w:sz w:val="21"/>
          <w:szCs w:val="21"/>
        </w:rPr>
        <w:t>图注：H—声源高度；h1—预测点A至路面的垂直距离；D—预测点A至路中心线的垂直距离；h2—预测点探头高度；d—道路宽度的1/2。</w:t>
      </w:r>
    </w:p>
    <w:p>
      <w:pPr>
        <w:adjustRightInd w:val="0"/>
        <w:ind w:firstLine="420" w:firstLineChars="200"/>
        <w:jc w:val="left"/>
        <w:rPr>
          <w:rFonts w:hint="default" w:ascii="Times New Roman" w:hAnsi="Times New Roman" w:cs="Times New Roman"/>
          <w:b w:val="0"/>
          <w:bCs/>
          <w:sz w:val="21"/>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由ΔSBR可得：</w:t>
      </w:r>
      <w:r>
        <w:rPr>
          <w:rFonts w:hint="default" w:ascii="Times New Roman" w:hAnsi="Times New Roman" w:eastAsia="宋体" w:cs="Times New Roman"/>
          <w:b w:val="0"/>
          <w:bCs w:val="0"/>
          <w:sz w:val="24"/>
          <w:szCs w:val="24"/>
          <w:lang w:val="en-US" w:eastAsia="zh-CN" w:bidi="zh-CN"/>
        </w:rPr>
        <w:drawing>
          <wp:inline distT="0" distB="0" distL="114300" distR="114300">
            <wp:extent cx="1371600" cy="438150"/>
            <wp:effectExtent l="0" t="0" r="0" b="0"/>
            <wp:docPr id="21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1"/>
                    <pic:cNvPicPr>
                      <a:picLocks noChangeAspect="1"/>
                    </pic:cNvPicPr>
                  </pic:nvPicPr>
                  <pic:blipFill>
                    <a:blip r:embed="rId68"/>
                    <a:stretch>
                      <a:fillRect/>
                    </a:stretch>
                  </pic:blipFill>
                  <pic:spPr>
                    <a:xfrm>
                      <a:off x="0" y="0"/>
                      <a:ext cx="1371600" cy="43815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若</w:t>
      </w:r>
      <w:r>
        <w:rPr>
          <w:rFonts w:hint="default" w:ascii="Times New Roman" w:hAnsi="Times New Roman" w:eastAsia="宋体" w:cs="Times New Roman"/>
          <w:b w:val="0"/>
          <w:bCs w:val="0"/>
          <w:sz w:val="24"/>
          <w:szCs w:val="24"/>
          <w:lang w:val="en-US" w:eastAsia="zh-CN" w:bidi="zh-CN"/>
        </w:rPr>
        <w:drawing>
          <wp:inline distT="0" distB="0" distL="114300" distR="114300">
            <wp:extent cx="1400175" cy="438150"/>
            <wp:effectExtent l="0" t="0" r="9525" b="0"/>
            <wp:docPr id="21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2"/>
                    <pic:cNvPicPr>
                      <a:picLocks noChangeAspect="1"/>
                    </pic:cNvPicPr>
                  </pic:nvPicPr>
                  <pic:blipFill>
                    <a:blip r:embed="rId69"/>
                    <a:stretch>
                      <a:fillRect/>
                    </a:stretch>
                  </pic:blipFill>
                  <pic:spPr>
                    <a:xfrm>
                      <a:off x="0" y="0"/>
                      <a:ext cx="1400175" cy="43815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，预测点在A点以内（如B点），则预测点处于声照区内。</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若</w:t>
      </w:r>
      <w:r>
        <w:rPr>
          <w:rFonts w:hint="default" w:ascii="Times New Roman" w:hAnsi="Times New Roman" w:eastAsia="宋体" w:cs="Times New Roman"/>
          <w:b w:val="0"/>
          <w:bCs w:val="0"/>
          <w:sz w:val="24"/>
          <w:szCs w:val="24"/>
          <w:lang w:val="en-US" w:eastAsia="zh-CN" w:bidi="zh-CN"/>
        </w:rPr>
        <w:drawing>
          <wp:inline distT="0" distB="0" distL="114300" distR="114300">
            <wp:extent cx="1447800" cy="438150"/>
            <wp:effectExtent l="0" t="0" r="0" b="0"/>
            <wp:docPr id="21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3"/>
                    <pic:cNvPicPr>
                      <a:picLocks noChangeAspect="1"/>
                    </pic:cNvPicPr>
                  </pic:nvPicPr>
                  <pic:blipFill>
                    <a:blip r:embed="rId70"/>
                    <a:stretch>
                      <a:fillRect/>
                    </a:stretch>
                  </pic:blipFill>
                  <pic:spPr>
                    <a:xfrm>
                      <a:off x="0" y="0"/>
                      <a:ext cx="1447800" cy="43815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，预测点在A点以内（如B点），则预测点处于声照区内。</w:t>
      </w:r>
    </w:p>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drawing>
          <wp:inline distT="0" distB="0" distL="114300" distR="114300">
            <wp:extent cx="3854450" cy="1649095"/>
            <wp:effectExtent l="0" t="0" r="12700" b="8255"/>
            <wp:docPr id="21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4"/>
                    <pic:cNvPicPr>
                      <a:picLocks noChangeAspect="1"/>
                    </pic:cNvPicPr>
                  </pic:nvPicPr>
                  <pic:blipFill>
                    <a:blip r:embed="rId71"/>
                    <a:stretch>
                      <a:fillRect/>
                    </a:stretch>
                  </pic:blipFill>
                  <pic:spPr>
                    <a:xfrm>
                      <a:off x="0" y="0"/>
                      <a:ext cx="3854450" cy="1649095"/>
                    </a:xfrm>
                    <a:prstGeom prst="rect">
                      <a:avLst/>
                    </a:prstGeom>
                    <a:noFill/>
                    <a:ln>
                      <a:noFill/>
                    </a:ln>
                  </pic:spPr>
                </pic:pic>
              </a:graphicData>
            </a:graphic>
          </wp:inline>
        </w:drawing>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图4.4-4 </w:t>
      </w:r>
      <w:r>
        <w:rPr>
          <w:rFonts w:hint="default" w:ascii="Times New Roman" w:hAnsi="Times New Roman" w:eastAsia="宋体" w:cs="Times New Roman"/>
          <w:b/>
          <w:bCs w:val="0"/>
          <w:kern w:val="0"/>
          <w:sz w:val="21"/>
          <w:szCs w:val="21"/>
        </w:rPr>
        <w:t>路堑声照区及声影区示意图</w:t>
      </w:r>
    </w:p>
    <w:p>
      <w:pPr>
        <w:adjustRightInd w:val="0"/>
        <w:ind w:firstLine="422" w:firstLineChars="200"/>
        <w:jc w:val="left"/>
        <w:rPr>
          <w:rFonts w:hint="default" w:ascii="Times New Roman" w:hAnsi="Times New Roman" w:cs="Times New Roman"/>
          <w:b/>
          <w:bCs w:val="0"/>
          <w:sz w:val="21"/>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由ΔSBR可得：</w:t>
      </w:r>
      <w:r>
        <w:rPr>
          <w:rFonts w:hint="default" w:ascii="Times New Roman" w:hAnsi="Times New Roman" w:eastAsia="宋体" w:cs="Times New Roman"/>
          <w:b w:val="0"/>
          <w:bCs w:val="0"/>
          <w:sz w:val="24"/>
          <w:szCs w:val="24"/>
          <w:lang w:val="en-US" w:eastAsia="zh-CN" w:bidi="zh-CN"/>
        </w:rPr>
        <w:drawing>
          <wp:inline distT="0" distB="0" distL="114300" distR="114300">
            <wp:extent cx="1390650" cy="533400"/>
            <wp:effectExtent l="0" t="0" r="0" b="0"/>
            <wp:docPr id="21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5"/>
                    <pic:cNvPicPr>
                      <a:picLocks noChangeAspect="1"/>
                    </pic:cNvPicPr>
                  </pic:nvPicPr>
                  <pic:blipFill>
                    <a:blip r:embed="rId72"/>
                    <a:stretch>
                      <a:fillRect/>
                    </a:stretch>
                  </pic:blipFill>
                  <pic:spPr>
                    <a:xfrm>
                      <a:off x="0" y="0"/>
                      <a:ext cx="1390650" cy="53340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若</w:t>
      </w:r>
      <w:r>
        <w:rPr>
          <w:rFonts w:hint="default" w:ascii="Times New Roman" w:hAnsi="Times New Roman" w:eastAsia="宋体" w:cs="Times New Roman"/>
          <w:b w:val="0"/>
          <w:bCs w:val="0"/>
          <w:sz w:val="24"/>
          <w:szCs w:val="24"/>
          <w:lang w:val="en-US" w:eastAsia="zh-CN" w:bidi="zh-CN"/>
        </w:rPr>
        <w:drawing>
          <wp:inline distT="0" distB="0" distL="114300" distR="114300">
            <wp:extent cx="1476375" cy="485775"/>
            <wp:effectExtent l="0" t="0" r="9525" b="9525"/>
            <wp:docPr id="21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46"/>
                    <pic:cNvPicPr>
                      <a:picLocks noChangeAspect="1"/>
                    </pic:cNvPicPr>
                  </pic:nvPicPr>
                  <pic:blipFill>
                    <a:blip r:embed="rId73"/>
                    <a:stretch>
                      <a:fillRect/>
                    </a:stretch>
                  </pic:blipFill>
                  <pic:spPr>
                    <a:xfrm>
                      <a:off x="0" y="0"/>
                      <a:ext cx="1476375" cy="48577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，预测点在A点以外（如B点），则预测点处于声照区内。</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若</w:t>
      </w:r>
      <w:r>
        <w:rPr>
          <w:rFonts w:hint="default" w:ascii="Times New Roman" w:hAnsi="Times New Roman" w:eastAsia="宋体" w:cs="Times New Roman"/>
          <w:b w:val="0"/>
          <w:bCs w:val="0"/>
          <w:sz w:val="24"/>
          <w:szCs w:val="24"/>
          <w:lang w:val="en-US" w:eastAsia="zh-CN" w:bidi="zh-CN"/>
        </w:rPr>
        <w:drawing>
          <wp:inline distT="0" distB="0" distL="114300" distR="114300">
            <wp:extent cx="2305050" cy="504825"/>
            <wp:effectExtent l="0" t="0" r="0" b="9525"/>
            <wp:docPr id="21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7"/>
                    <pic:cNvPicPr>
                      <a:picLocks noChangeAspect="1"/>
                    </pic:cNvPicPr>
                  </pic:nvPicPr>
                  <pic:blipFill>
                    <a:blip r:embed="rId74"/>
                    <a:stretch>
                      <a:fillRect/>
                    </a:stretch>
                  </pic:blipFill>
                  <pic:spPr>
                    <a:xfrm>
                      <a:off x="0" y="0"/>
                      <a:ext cx="2305050" cy="5048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，预测点在A点以内，则预测点处于声照区内。</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当预测点处于声照区时，</w:t>
      </w:r>
      <w:r>
        <w:rPr>
          <w:rFonts w:hint="default" w:ascii="Times New Roman" w:hAnsi="Times New Roman" w:eastAsia="宋体" w:cs="Times New Roman"/>
          <w:b w:val="0"/>
          <w:bCs w:val="0"/>
          <w:sz w:val="24"/>
          <w:szCs w:val="24"/>
          <w:lang w:val="en-US" w:eastAsia="zh-CN" w:bidi="zh-CN"/>
        </w:rPr>
        <w:drawing>
          <wp:inline distT="0" distB="0" distL="114300" distR="114300">
            <wp:extent cx="428625" cy="228600"/>
            <wp:effectExtent l="0" t="0" r="8890" b="0"/>
            <wp:docPr id="21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8"/>
                    <pic:cNvPicPr>
                      <a:picLocks noChangeAspect="1"/>
                    </pic:cNvPicPr>
                  </pic:nvPicPr>
                  <pic:blipFill>
                    <a:blip r:embed="rId75"/>
                    <a:stretch>
                      <a:fillRect/>
                    </a:stretch>
                  </pic:blipFill>
                  <pic:spPr>
                    <a:xfrm>
                      <a:off x="0" y="0"/>
                      <a:ext cx="428625"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当预测点处于声影区，</w:t>
      </w:r>
      <w:r>
        <w:rPr>
          <w:rFonts w:hint="default" w:ascii="Times New Roman" w:hAnsi="Times New Roman" w:eastAsia="宋体" w:cs="Times New Roman"/>
          <w:b w:val="0"/>
          <w:bCs w:val="0"/>
          <w:sz w:val="24"/>
          <w:szCs w:val="24"/>
          <w:lang w:val="en-US" w:eastAsia="zh-CN" w:bidi="zh-CN"/>
        </w:rPr>
        <w:drawing>
          <wp:inline distT="0" distB="0" distL="114300" distR="114300">
            <wp:extent cx="257175" cy="228600"/>
            <wp:effectExtent l="0" t="0" r="8890" b="0"/>
            <wp:docPr id="21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9"/>
                    <pic:cNvPicPr>
                      <a:picLocks noChangeAspect="1"/>
                    </pic:cNvPicPr>
                  </pic:nvPicPr>
                  <pic:blipFill>
                    <a:blip r:embed="rId76"/>
                    <a:stretch>
                      <a:fillRect/>
                    </a:stretch>
                  </pic:blipFill>
                  <pic:spPr>
                    <a:xfrm>
                      <a:off x="0" y="0"/>
                      <a:ext cx="257175"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决定于声程差</w:t>
      </w:r>
      <w:r>
        <w:rPr>
          <w:rFonts w:hint="default" w:ascii="Times New Roman" w:hAnsi="Times New Roman" w:eastAsia="宋体" w:cs="Times New Roman"/>
          <w:b w:val="0"/>
          <w:bCs w:val="0"/>
          <w:sz w:val="24"/>
          <w:szCs w:val="24"/>
          <w:lang w:val="en-US" w:eastAsia="zh-CN" w:bidi="zh-CN"/>
        </w:rPr>
        <w:drawing>
          <wp:inline distT="0" distB="0" distL="114300" distR="114300">
            <wp:extent cx="142875" cy="180975"/>
            <wp:effectExtent l="0" t="0" r="9525" b="7620"/>
            <wp:docPr id="22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50"/>
                    <pic:cNvPicPr>
                      <a:picLocks noChangeAspect="1"/>
                    </pic:cNvPicPr>
                  </pic:nvPicPr>
                  <pic:blipFill>
                    <a:blip r:embed="rId77"/>
                    <a:stretch>
                      <a:fillRect/>
                    </a:stretch>
                  </pic:blipFill>
                  <pic:spPr>
                    <a:xfrm>
                      <a:off x="0" y="0"/>
                      <a:ext cx="142875" cy="18097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由</w:t>
      </w:r>
      <w:r>
        <w:rPr>
          <w:rFonts w:hint="default" w:ascii="Times New Roman" w:hAnsi="Times New Roman" w:eastAsia="宋体" w:cs="Times New Roman"/>
          <w:b w:val="0"/>
          <w:bCs w:val="0"/>
          <w:sz w:val="24"/>
          <w:szCs w:val="24"/>
          <w:lang w:val="en-US" w:eastAsia="zh-CN" w:bidi="zh-CN"/>
        </w:rPr>
        <w:fldChar w:fldCharType="begin"/>
      </w:r>
      <w:r>
        <w:rPr>
          <w:rFonts w:hint="default" w:ascii="Times New Roman" w:hAnsi="Times New Roman" w:eastAsia="宋体" w:cs="Times New Roman"/>
          <w:b w:val="0"/>
          <w:bCs w:val="0"/>
          <w:sz w:val="24"/>
          <w:szCs w:val="24"/>
          <w:lang w:val="en-US" w:eastAsia="zh-CN" w:bidi="zh-CN"/>
        </w:rPr>
        <w:instrText xml:space="preserve"> REF _Ref339884966 \r \h  \* MERGEFORMAT </w:instrText>
      </w:r>
      <w:r>
        <w:rPr>
          <w:rFonts w:hint="default" w:ascii="Times New Roman" w:hAnsi="Times New Roman" w:eastAsia="宋体" w:cs="Times New Roman"/>
          <w:b w:val="0"/>
          <w:bCs w:val="0"/>
          <w:sz w:val="24"/>
          <w:szCs w:val="24"/>
          <w:lang w:val="en-US" w:eastAsia="zh-CN" w:bidi="zh-CN"/>
        </w:rPr>
        <w:fldChar w:fldCharType="separate"/>
      </w:r>
      <w:r>
        <w:rPr>
          <w:rFonts w:hint="default" w:ascii="Times New Roman" w:hAnsi="Times New Roman" w:eastAsia="宋体" w:cs="Times New Roman"/>
          <w:b w:val="0"/>
          <w:bCs w:val="0"/>
          <w:sz w:val="24"/>
          <w:szCs w:val="24"/>
          <w:lang w:val="en-US" w:eastAsia="zh-CN" w:bidi="zh-CN"/>
        </w:rPr>
        <w:t>0</w:t>
      </w:r>
      <w:r>
        <w:rPr>
          <w:rFonts w:hint="default" w:ascii="Times New Roman" w:hAnsi="Times New Roman" w:eastAsia="宋体" w:cs="Times New Roman"/>
          <w:b w:val="0"/>
          <w:bCs w:val="0"/>
          <w:sz w:val="24"/>
          <w:szCs w:val="24"/>
          <w:lang w:val="en-US" w:eastAsia="zh-CN" w:bidi="zh-CN"/>
        </w:rPr>
        <w:fldChar w:fldCharType="end"/>
      </w:r>
      <w:r>
        <w:rPr>
          <w:rFonts w:hint="default" w:ascii="Times New Roman" w:hAnsi="Times New Roman" w:eastAsia="宋体" w:cs="Times New Roman"/>
          <w:b w:val="0"/>
          <w:bCs w:val="0"/>
          <w:sz w:val="24"/>
          <w:szCs w:val="24"/>
          <w:lang w:val="en-US" w:eastAsia="zh-CN" w:bidi="zh-CN"/>
        </w:rPr>
        <w:t>计算</w:t>
      </w:r>
      <w:r>
        <w:rPr>
          <w:rFonts w:hint="default" w:ascii="Times New Roman" w:hAnsi="Times New Roman" w:eastAsia="宋体" w:cs="Times New Roman"/>
          <w:b w:val="0"/>
          <w:bCs w:val="0"/>
          <w:sz w:val="24"/>
          <w:szCs w:val="24"/>
          <w:lang w:val="en-US" w:eastAsia="zh-CN" w:bidi="zh-CN"/>
        </w:rPr>
        <w:drawing>
          <wp:inline distT="0" distB="0" distL="114300" distR="114300">
            <wp:extent cx="142875" cy="180975"/>
            <wp:effectExtent l="0" t="0" r="9525" b="7620"/>
            <wp:docPr id="22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51"/>
                    <pic:cNvPicPr>
                      <a:picLocks noChangeAspect="1"/>
                    </pic:cNvPicPr>
                  </pic:nvPicPr>
                  <pic:blipFill>
                    <a:blip r:embed="rId78"/>
                    <a:stretch>
                      <a:fillRect/>
                    </a:stretch>
                  </pic:blipFill>
                  <pic:spPr>
                    <a:xfrm>
                      <a:off x="0" y="0"/>
                      <a:ext cx="142875" cy="18097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drawing>
          <wp:inline distT="0" distB="0" distL="114300" distR="114300">
            <wp:extent cx="657225" cy="180975"/>
            <wp:effectExtent l="0" t="0" r="9525" b="8890"/>
            <wp:docPr id="22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2"/>
                    <pic:cNvPicPr>
                      <a:picLocks noChangeAspect="1"/>
                    </pic:cNvPicPr>
                  </pic:nvPicPr>
                  <pic:blipFill>
                    <a:blip r:embed="rId79"/>
                    <a:stretch>
                      <a:fillRect/>
                    </a:stretch>
                  </pic:blipFill>
                  <pic:spPr>
                    <a:xfrm>
                      <a:off x="0" y="0"/>
                      <a:ext cx="657225" cy="18097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，再由</w:t>
      </w:r>
      <w:r>
        <w:rPr>
          <w:rFonts w:hint="default" w:ascii="Times New Roman" w:hAnsi="Times New Roman" w:eastAsia="宋体" w:cs="Times New Roman"/>
          <w:b w:val="0"/>
          <w:bCs w:val="0"/>
          <w:sz w:val="24"/>
          <w:szCs w:val="24"/>
          <w:lang w:val="en-US" w:eastAsia="zh-CN" w:bidi="zh-CN"/>
        </w:rPr>
        <w:fldChar w:fldCharType="begin"/>
      </w:r>
      <w:r>
        <w:rPr>
          <w:rFonts w:hint="default" w:ascii="Times New Roman" w:hAnsi="Times New Roman" w:eastAsia="宋体" w:cs="Times New Roman"/>
          <w:b w:val="0"/>
          <w:bCs w:val="0"/>
          <w:sz w:val="24"/>
          <w:szCs w:val="24"/>
          <w:lang w:val="en-US" w:eastAsia="zh-CN" w:bidi="zh-CN"/>
        </w:rPr>
        <w:instrText xml:space="preserve"> REF _Ref339884988 \r \h  \* MERGEFORMAT </w:instrText>
      </w:r>
      <w:r>
        <w:rPr>
          <w:rFonts w:hint="default" w:ascii="Times New Roman" w:hAnsi="Times New Roman" w:eastAsia="宋体" w:cs="Times New Roman"/>
          <w:b w:val="0"/>
          <w:bCs w:val="0"/>
          <w:sz w:val="24"/>
          <w:szCs w:val="24"/>
          <w:lang w:val="en-US" w:eastAsia="zh-CN" w:bidi="zh-CN"/>
        </w:rPr>
        <w:fldChar w:fldCharType="separate"/>
      </w:r>
      <w:r>
        <w:rPr>
          <w:rFonts w:hint="default" w:ascii="Times New Roman" w:hAnsi="Times New Roman" w:eastAsia="宋体" w:cs="Times New Roman"/>
          <w:b w:val="0"/>
          <w:bCs w:val="0"/>
          <w:sz w:val="24"/>
          <w:szCs w:val="24"/>
          <w:lang w:val="en-US" w:eastAsia="zh-CN" w:bidi="zh-CN"/>
        </w:rPr>
        <w:t>0</w:t>
      </w:r>
      <w:r>
        <w:rPr>
          <w:rFonts w:hint="default" w:ascii="Times New Roman" w:hAnsi="Times New Roman" w:eastAsia="宋体" w:cs="Times New Roman"/>
          <w:b w:val="0"/>
          <w:bCs w:val="0"/>
          <w:sz w:val="24"/>
          <w:szCs w:val="24"/>
          <w:lang w:val="en-US" w:eastAsia="zh-CN" w:bidi="zh-CN"/>
        </w:rPr>
        <w:fldChar w:fldCharType="end"/>
      </w:r>
      <w:r>
        <w:rPr>
          <w:rFonts w:hint="default" w:ascii="Times New Roman" w:hAnsi="Times New Roman" w:eastAsia="宋体" w:cs="Times New Roman"/>
          <w:b w:val="0"/>
          <w:bCs w:val="0"/>
          <w:sz w:val="24"/>
          <w:szCs w:val="24"/>
          <w:lang w:val="en-US" w:eastAsia="zh-CN" w:bidi="zh-CN"/>
        </w:rPr>
        <w:t>查出</w:t>
      </w:r>
      <w:r>
        <w:rPr>
          <w:rFonts w:hint="default" w:ascii="Times New Roman" w:hAnsi="Times New Roman" w:eastAsia="宋体" w:cs="Times New Roman"/>
          <w:b w:val="0"/>
          <w:bCs w:val="0"/>
          <w:sz w:val="24"/>
          <w:szCs w:val="24"/>
          <w:lang w:val="en-US" w:eastAsia="zh-CN" w:bidi="zh-CN"/>
        </w:rPr>
        <w:drawing>
          <wp:inline distT="0" distB="0" distL="114300" distR="114300">
            <wp:extent cx="257175" cy="228600"/>
            <wp:effectExtent l="0" t="0" r="8890" b="0"/>
            <wp:docPr id="22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53"/>
                    <pic:cNvPicPr>
                      <a:picLocks noChangeAspect="1"/>
                    </pic:cNvPicPr>
                  </pic:nvPicPr>
                  <pic:blipFill>
                    <a:blip r:embed="rId80"/>
                    <a:stretch>
                      <a:fillRect/>
                    </a:stretch>
                  </pic:blipFill>
                  <pic:spPr>
                    <a:xfrm>
                      <a:off x="0" y="0"/>
                      <a:ext cx="257175" cy="228600"/>
                    </a:xfrm>
                    <a:prstGeom prst="rect">
                      <a:avLst/>
                    </a:prstGeom>
                    <a:noFill/>
                    <a:ln>
                      <a:noFill/>
                    </a:ln>
                  </pic:spPr>
                </pic:pic>
              </a:graphicData>
            </a:graphic>
          </wp:inline>
        </w:drawing>
      </w:r>
    </w:p>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drawing>
          <wp:inline distT="0" distB="0" distL="114300" distR="114300">
            <wp:extent cx="2724150" cy="1536700"/>
            <wp:effectExtent l="0" t="0" r="0" b="6350"/>
            <wp:docPr id="22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54"/>
                    <pic:cNvPicPr>
                      <a:picLocks noChangeAspect="1"/>
                    </pic:cNvPicPr>
                  </pic:nvPicPr>
                  <pic:blipFill>
                    <a:blip r:embed="rId81"/>
                    <a:stretch>
                      <a:fillRect/>
                    </a:stretch>
                  </pic:blipFill>
                  <pic:spPr>
                    <a:xfrm>
                      <a:off x="0" y="0"/>
                      <a:ext cx="2724150" cy="1536700"/>
                    </a:xfrm>
                    <a:prstGeom prst="rect">
                      <a:avLst/>
                    </a:prstGeom>
                    <a:noFill/>
                    <a:ln>
                      <a:noFill/>
                    </a:ln>
                  </pic:spPr>
                </pic:pic>
              </a:graphicData>
            </a:graphic>
          </wp:inline>
        </w:drawing>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val="0"/>
          <w:bCs/>
          <w:kern w:val="0"/>
          <w:sz w:val="21"/>
          <w:szCs w:val="21"/>
        </w:rPr>
      </w:pPr>
      <w:bookmarkStart w:id="111" w:name="_Ref339884966"/>
      <w:r>
        <w:rPr>
          <w:rFonts w:hint="eastAsia" w:ascii="Times New Roman" w:hAnsi="Times New Roman" w:cs="Times New Roman"/>
          <w:b/>
          <w:bCs w:val="0"/>
          <w:kern w:val="0"/>
          <w:sz w:val="21"/>
          <w:szCs w:val="21"/>
          <w:lang w:val="en-US" w:eastAsia="zh-CN"/>
        </w:rPr>
        <w:t xml:space="preserve">图4.4-5 </w:t>
      </w:r>
      <w:r>
        <w:rPr>
          <w:rFonts w:hint="default" w:ascii="Times New Roman" w:hAnsi="Times New Roman" w:eastAsia="宋体" w:cs="Times New Roman"/>
          <w:b/>
          <w:bCs w:val="0"/>
          <w:kern w:val="0"/>
          <w:sz w:val="21"/>
          <w:szCs w:val="21"/>
        </w:rPr>
        <w:t>声程差δ的计算示意图</w:t>
      </w:r>
      <w:bookmarkEnd w:id="111"/>
    </w:p>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drawing>
          <wp:inline distT="0" distB="0" distL="114300" distR="114300">
            <wp:extent cx="4206240" cy="2769870"/>
            <wp:effectExtent l="0" t="0" r="3810" b="11430"/>
            <wp:docPr id="22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55"/>
                    <pic:cNvPicPr>
                      <a:picLocks noChangeAspect="1"/>
                    </pic:cNvPicPr>
                  </pic:nvPicPr>
                  <pic:blipFill>
                    <a:blip r:embed="rId82"/>
                    <a:stretch>
                      <a:fillRect/>
                    </a:stretch>
                  </pic:blipFill>
                  <pic:spPr>
                    <a:xfrm>
                      <a:off x="0" y="0"/>
                      <a:ext cx="4206240" cy="2769870"/>
                    </a:xfrm>
                    <a:prstGeom prst="rect">
                      <a:avLst/>
                    </a:prstGeom>
                    <a:noFill/>
                    <a:ln>
                      <a:noFill/>
                    </a:ln>
                  </pic:spPr>
                </pic:pic>
              </a:graphicData>
            </a:graphic>
          </wp:inline>
        </w:drawing>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val="0"/>
          <w:bCs/>
          <w:kern w:val="0"/>
          <w:sz w:val="21"/>
          <w:szCs w:val="21"/>
        </w:rPr>
      </w:pPr>
      <w:bookmarkStart w:id="112" w:name="_Ref339884988"/>
      <w:r>
        <w:rPr>
          <w:rFonts w:hint="eastAsia" w:ascii="Times New Roman" w:hAnsi="Times New Roman" w:cs="Times New Roman"/>
          <w:b/>
          <w:bCs w:val="0"/>
          <w:kern w:val="0"/>
          <w:sz w:val="21"/>
          <w:szCs w:val="21"/>
          <w:lang w:val="en-US" w:eastAsia="zh-CN"/>
        </w:rPr>
        <w:t xml:space="preserve">图4.4-6 </w:t>
      </w:r>
      <w:r>
        <w:rPr>
          <w:rFonts w:hint="default" w:ascii="Times New Roman" w:hAnsi="Times New Roman" w:eastAsia="宋体" w:cs="Times New Roman"/>
          <w:b/>
          <w:bCs w:val="0"/>
          <w:kern w:val="0"/>
          <w:sz w:val="21"/>
          <w:szCs w:val="21"/>
        </w:rPr>
        <w:t>噪声衰减量Abar与声程差δ关系曲线</w:t>
      </w:r>
      <w:r>
        <w:rPr>
          <w:rFonts w:hint="eastAsia" w:ascii="Times New Roman" w:hAnsi="Times New Roman" w:cs="Times New Roman"/>
          <w:b/>
          <w:bCs w:val="0"/>
          <w:kern w:val="0"/>
          <w:sz w:val="21"/>
          <w:szCs w:val="21"/>
          <w:lang w:eastAsia="zh-CN"/>
        </w:rPr>
        <w:t>（</w:t>
      </w:r>
      <w:r>
        <w:rPr>
          <w:rFonts w:hint="default" w:ascii="Times New Roman" w:hAnsi="Times New Roman" w:eastAsia="宋体" w:cs="Times New Roman"/>
          <w:b/>
          <w:bCs w:val="0"/>
          <w:kern w:val="0"/>
          <w:sz w:val="21"/>
          <w:szCs w:val="21"/>
        </w:rPr>
        <w:t>f=500HZ</w:t>
      </w:r>
      <w:r>
        <w:rPr>
          <w:rFonts w:hint="eastAsia" w:ascii="Times New Roman" w:hAnsi="Times New Roman" w:cs="Times New Roman"/>
          <w:b/>
          <w:bCs w:val="0"/>
          <w:kern w:val="0"/>
          <w:sz w:val="21"/>
          <w:szCs w:val="21"/>
          <w:lang w:eastAsia="zh-CN"/>
        </w:rPr>
        <w:t>）</w:t>
      </w:r>
      <w:bookmarkEnd w:id="112"/>
    </w:p>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C</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农村房屋附加衰减量估算值</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农村房屋衰减量可参照GB/T17247.2附录A进行计算，在沿道路第一排房屋影声区范围内，近似计算可按下图4-7及表4-6来取值。</w:t>
      </w:r>
    </w:p>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drawing>
          <wp:inline distT="0" distB="0" distL="114300" distR="114300">
            <wp:extent cx="4029710" cy="1329690"/>
            <wp:effectExtent l="0" t="0" r="8890" b="3810"/>
            <wp:docPr id="22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6"/>
                    <pic:cNvPicPr>
                      <a:picLocks noChangeAspect="1"/>
                    </pic:cNvPicPr>
                  </pic:nvPicPr>
                  <pic:blipFill>
                    <a:blip r:embed="rId83"/>
                    <a:stretch>
                      <a:fillRect/>
                    </a:stretch>
                  </pic:blipFill>
                  <pic:spPr>
                    <a:xfrm>
                      <a:off x="0" y="0"/>
                      <a:ext cx="4029710" cy="1329690"/>
                    </a:xfrm>
                    <a:prstGeom prst="rect">
                      <a:avLst/>
                    </a:prstGeom>
                    <a:noFill/>
                    <a:ln>
                      <a:noFill/>
                    </a:ln>
                  </pic:spPr>
                </pic:pic>
              </a:graphicData>
            </a:graphic>
          </wp:inline>
        </w:drawing>
      </w:r>
    </w:p>
    <w:p>
      <w:p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val="0"/>
          <w:sz w:val="21"/>
          <w:szCs w:val="21"/>
          <w:lang w:val="en-US" w:eastAsia="zh-CN" w:bidi="zh-CN"/>
        </w:rPr>
      </w:pPr>
      <w:bookmarkStart w:id="113" w:name="_Ref339885013"/>
      <w:r>
        <w:rPr>
          <w:rFonts w:hint="eastAsia" w:ascii="Times New Roman" w:hAnsi="Times New Roman" w:cs="Times New Roman"/>
          <w:b/>
          <w:bCs w:val="0"/>
          <w:kern w:val="0"/>
          <w:sz w:val="21"/>
          <w:szCs w:val="21"/>
          <w:lang w:val="en-US" w:eastAsia="zh-CN"/>
        </w:rPr>
        <w:t xml:space="preserve">图4.4-7 </w:t>
      </w:r>
      <w:r>
        <w:rPr>
          <w:rFonts w:hint="default" w:ascii="Times New Roman" w:hAnsi="Times New Roman" w:eastAsia="宋体" w:cs="Times New Roman"/>
          <w:b/>
          <w:bCs w:val="0"/>
          <w:sz w:val="21"/>
          <w:szCs w:val="21"/>
          <w:lang w:val="en-US" w:eastAsia="zh-CN" w:bidi="zh-CN"/>
        </w:rPr>
        <w:t>农村房屋降噪量估算示意图</w:t>
      </w:r>
      <w:bookmarkEnd w:id="113"/>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S为第一排房屋面积和，S0为阴影部分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包括房屋</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面积</w:t>
      </w:r>
    </w:p>
    <w:p>
      <w:pPr>
        <w:keepNext w:val="0"/>
        <w:ind w:firstLine="0" w:firstLineChars="0"/>
        <w:outlineLvl w:val="9"/>
        <w:rPr>
          <w:rFonts w:hint="default" w:ascii="Times New Roman" w:hAnsi="Times New Roman" w:cs="Times New Roman"/>
          <w:b w:val="0"/>
          <w:bCs/>
          <w:szCs w:val="21"/>
        </w:rPr>
      </w:pPr>
      <w:bookmarkStart w:id="114" w:name="_Ref339885029"/>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表4.4-6 </w:t>
      </w:r>
      <w:r>
        <w:rPr>
          <w:rFonts w:hint="default" w:ascii="Times New Roman" w:hAnsi="Times New Roman" w:eastAsia="宋体" w:cs="Times New Roman"/>
          <w:b/>
          <w:bCs w:val="0"/>
          <w:kern w:val="0"/>
          <w:sz w:val="21"/>
          <w:szCs w:val="21"/>
        </w:rPr>
        <w:t>农村房屋噪声附加衰减量估算量</w:t>
      </w:r>
      <w:bookmarkEnd w:id="114"/>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757"/>
        <w:gridCol w:w="548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3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房屋状况</w:t>
            </w:r>
          </w:p>
        </w:tc>
        <w:tc>
          <w:tcPr>
            <w:tcW w:w="296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i/>
                <w:iCs/>
                <w:sz w:val="21"/>
                <w:szCs w:val="21"/>
              </w:rPr>
              <w:t>Abar</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3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40～60%</w:t>
            </w:r>
          </w:p>
        </w:tc>
        <w:tc>
          <w:tcPr>
            <w:tcW w:w="296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-3dB</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70～90%</w:t>
            </w:r>
          </w:p>
        </w:tc>
        <w:tc>
          <w:tcPr>
            <w:tcW w:w="296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-5dB</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3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以后每增加一排房屋</w:t>
            </w:r>
          </w:p>
        </w:tc>
        <w:tc>
          <w:tcPr>
            <w:tcW w:w="296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-1.5dB，最大绝对衰减量≤-10dB</w:t>
            </w:r>
          </w:p>
        </w:tc>
      </w:tr>
    </w:tbl>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2）地面效应衰减（</w:t>
      </w:r>
      <w:r>
        <w:rPr>
          <w:rFonts w:hint="default" w:ascii="Times New Roman" w:hAnsi="Times New Roman" w:eastAsia="宋体" w:cs="Times New Roman"/>
          <w:b w:val="0"/>
          <w:bCs w:val="0"/>
          <w:sz w:val="24"/>
          <w:szCs w:val="24"/>
          <w:lang w:val="en-US" w:eastAsia="zh-CN" w:bidi="zh-CN"/>
        </w:rPr>
        <w:drawing>
          <wp:inline distT="0" distB="0" distL="114300" distR="114300">
            <wp:extent cx="219075" cy="238125"/>
            <wp:effectExtent l="0" t="0" r="0" b="7620"/>
            <wp:docPr id="22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57"/>
                    <pic:cNvPicPr>
                      <a:picLocks noChangeAspect="1"/>
                    </pic:cNvPicPr>
                  </pic:nvPicPr>
                  <pic:blipFill>
                    <a:blip r:embed="rId84"/>
                    <a:stretch>
                      <a:fillRect/>
                    </a:stretch>
                  </pic:blipFill>
                  <pic:spPr>
                    <a:xfrm>
                      <a:off x="0" y="0"/>
                      <a:ext cx="219075" cy="2381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地面类型可分为：</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坚实地面，包括铺筑过的路面</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水面</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冰面以及夯实地面。</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B</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疏松地面，包括被草或其他植物覆盖的地面，以及农田等适合于植物生长的地面。</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C</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混合地面，由坚实地面和疏松地面组成。</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声波越过疏松地面传播时，或大部分为疏松地面的混合地面，在预测点仅计算A声级前提下，地面效应引起的倍频带衰减可用下式计算：</w:t>
      </w:r>
    </w:p>
    <w:p>
      <w:pPr>
        <w:adjustRightInd w:val="0"/>
        <w:spacing w:line="360" w:lineRule="auto"/>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drawing>
          <wp:inline distT="0" distB="0" distL="114300" distR="114300">
            <wp:extent cx="2295525" cy="552450"/>
            <wp:effectExtent l="0" t="0" r="9525" b="0"/>
            <wp:docPr id="22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58"/>
                    <pic:cNvPicPr>
                      <a:picLocks noChangeAspect="1"/>
                    </pic:cNvPicPr>
                  </pic:nvPicPr>
                  <pic:blipFill>
                    <a:blip r:embed="rId85"/>
                    <a:stretch>
                      <a:fillRect/>
                    </a:stretch>
                  </pic:blipFill>
                  <pic:spPr>
                    <a:xfrm>
                      <a:off x="0" y="0"/>
                      <a:ext cx="2295525" cy="55245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式中：r—声源到预测点的距离，m；</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hm—传播路径的平均离地高度，m；可按图7-8进行计算，hm=F/r；单位：F：面积，m2；r，m；</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若</w:t>
      </w:r>
      <w:r>
        <w:rPr>
          <w:rFonts w:hint="default" w:ascii="Times New Roman" w:hAnsi="Times New Roman" w:eastAsia="宋体" w:cs="Times New Roman"/>
          <w:b w:val="0"/>
          <w:bCs w:val="0"/>
          <w:sz w:val="24"/>
          <w:szCs w:val="24"/>
          <w:lang w:val="en-US" w:eastAsia="zh-CN" w:bidi="zh-CN"/>
        </w:rPr>
        <w:drawing>
          <wp:inline distT="0" distB="0" distL="114300" distR="114300">
            <wp:extent cx="219075" cy="238125"/>
            <wp:effectExtent l="0" t="0" r="0" b="7620"/>
            <wp:docPr id="22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9"/>
                    <pic:cNvPicPr>
                      <a:picLocks noChangeAspect="1"/>
                    </pic:cNvPicPr>
                  </pic:nvPicPr>
                  <pic:blipFill>
                    <a:blip r:embed="rId84"/>
                    <a:stretch>
                      <a:fillRect/>
                    </a:stretch>
                  </pic:blipFill>
                  <pic:spPr>
                    <a:xfrm>
                      <a:off x="0" y="0"/>
                      <a:ext cx="219075" cy="2381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计算出负值，则</w:t>
      </w:r>
      <w:r>
        <w:rPr>
          <w:rFonts w:hint="default" w:ascii="Times New Roman" w:hAnsi="Times New Roman" w:eastAsia="宋体" w:cs="Times New Roman"/>
          <w:b w:val="0"/>
          <w:bCs w:val="0"/>
          <w:sz w:val="24"/>
          <w:szCs w:val="24"/>
          <w:lang w:val="en-US" w:eastAsia="zh-CN" w:bidi="zh-CN"/>
        </w:rPr>
        <w:drawing>
          <wp:inline distT="0" distB="0" distL="114300" distR="114300">
            <wp:extent cx="219075" cy="238125"/>
            <wp:effectExtent l="0" t="0" r="0" b="7620"/>
            <wp:docPr id="23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60"/>
                    <pic:cNvPicPr>
                      <a:picLocks noChangeAspect="1"/>
                    </pic:cNvPicPr>
                  </pic:nvPicPr>
                  <pic:blipFill>
                    <a:blip r:embed="rId84"/>
                    <a:stretch>
                      <a:fillRect/>
                    </a:stretch>
                  </pic:blipFill>
                  <pic:spPr>
                    <a:xfrm>
                      <a:off x="0" y="0"/>
                      <a:ext cx="219075" cy="2381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可用“0”代替。其他情况可参照GB/T17247.2进行计算。</w:t>
      </w:r>
    </w:p>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drawing>
          <wp:inline distT="0" distB="0" distL="114300" distR="114300">
            <wp:extent cx="3752850" cy="1697990"/>
            <wp:effectExtent l="0" t="0" r="0" b="16510"/>
            <wp:docPr id="23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61"/>
                    <pic:cNvPicPr>
                      <a:picLocks noChangeAspect="1"/>
                    </pic:cNvPicPr>
                  </pic:nvPicPr>
                  <pic:blipFill>
                    <a:blip r:embed="rId86"/>
                    <a:stretch>
                      <a:fillRect/>
                    </a:stretch>
                  </pic:blipFill>
                  <pic:spPr>
                    <a:xfrm>
                      <a:off x="0" y="0"/>
                      <a:ext cx="3752850" cy="1697990"/>
                    </a:xfrm>
                    <a:prstGeom prst="rect">
                      <a:avLst/>
                    </a:prstGeom>
                    <a:noFill/>
                    <a:ln>
                      <a:noFill/>
                    </a:ln>
                  </pic:spPr>
                </pic:pic>
              </a:graphicData>
            </a:graphic>
          </wp:inline>
        </w:drawing>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val="0"/>
          <w:bCs/>
          <w:kern w:val="0"/>
          <w:sz w:val="21"/>
          <w:szCs w:val="21"/>
        </w:rPr>
      </w:pPr>
      <w:r>
        <w:rPr>
          <w:rFonts w:hint="eastAsia" w:ascii="Times New Roman" w:hAnsi="Times New Roman" w:cs="Times New Roman"/>
          <w:b/>
          <w:bCs w:val="0"/>
          <w:kern w:val="0"/>
          <w:sz w:val="21"/>
          <w:szCs w:val="21"/>
          <w:lang w:val="en-US" w:eastAsia="zh-CN"/>
        </w:rPr>
        <w:t xml:space="preserve">图4.4-8 </w:t>
      </w:r>
      <w:r>
        <w:rPr>
          <w:rFonts w:hint="default" w:ascii="Times New Roman" w:hAnsi="Times New Roman" w:eastAsia="宋体" w:cs="Times New Roman"/>
          <w:b/>
          <w:bCs w:val="0"/>
          <w:kern w:val="0"/>
          <w:sz w:val="21"/>
          <w:szCs w:val="21"/>
        </w:rPr>
        <w:t>估计平均高度hm的方法</w:t>
      </w:r>
    </w:p>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3）空气吸收引起的衰减（</w:t>
      </w:r>
      <w:r>
        <w:rPr>
          <w:rFonts w:hint="default" w:ascii="Times New Roman" w:hAnsi="Times New Roman" w:eastAsia="宋体" w:cs="Times New Roman"/>
          <w:b w:val="0"/>
          <w:bCs w:val="0"/>
          <w:sz w:val="24"/>
          <w:szCs w:val="24"/>
          <w:lang w:val="en-US" w:eastAsia="zh-CN" w:bidi="zh-CN"/>
        </w:rPr>
        <w:drawing>
          <wp:inline distT="0" distB="0" distL="114300" distR="114300">
            <wp:extent cx="276225" cy="228600"/>
            <wp:effectExtent l="0" t="0" r="8890" b="0"/>
            <wp:docPr id="23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62"/>
                    <pic:cNvPicPr>
                      <a:picLocks noChangeAspect="1"/>
                    </pic:cNvPicPr>
                  </pic:nvPicPr>
                  <pic:blipFill>
                    <a:blip r:embed="rId87"/>
                    <a:stretch>
                      <a:fillRect/>
                    </a:stretch>
                  </pic:blipFill>
                  <pic:spPr>
                    <a:xfrm>
                      <a:off x="0" y="0"/>
                      <a:ext cx="276225"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空气吸收引起的衰减按下式计算：</w:t>
      </w:r>
    </w:p>
    <w:p>
      <w:pPr>
        <w:adjustRightInd w:val="0"/>
        <w:spacing w:line="360" w:lineRule="auto"/>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drawing>
          <wp:inline distT="0" distB="0" distL="114300" distR="114300">
            <wp:extent cx="1114425" cy="438150"/>
            <wp:effectExtent l="0" t="0" r="9525" b="0"/>
            <wp:docPr id="23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63"/>
                    <pic:cNvPicPr>
                      <a:picLocks noChangeAspect="1"/>
                    </pic:cNvPicPr>
                  </pic:nvPicPr>
                  <pic:blipFill>
                    <a:blip r:embed="rId88"/>
                    <a:stretch>
                      <a:fillRect/>
                    </a:stretch>
                  </pic:blipFill>
                  <pic:spPr>
                    <a:xfrm>
                      <a:off x="0" y="0"/>
                      <a:ext cx="1114425" cy="43815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式中：a为温度</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适度和声波频率的函数，预测计算中一般根据建设项目所处区域平均气温和适度选择相应的空气吸收系数。</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表4.4-7 </w:t>
      </w:r>
      <w:r>
        <w:rPr>
          <w:rFonts w:hint="default" w:ascii="Times New Roman" w:hAnsi="Times New Roman" w:eastAsia="宋体" w:cs="Times New Roman"/>
          <w:b/>
          <w:bCs w:val="0"/>
          <w:kern w:val="0"/>
          <w:sz w:val="21"/>
          <w:szCs w:val="21"/>
        </w:rPr>
        <w:t>倍频带噪声的大气吸收衰减系数α</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1647"/>
        <w:gridCol w:w="680"/>
        <w:gridCol w:w="747"/>
        <w:gridCol w:w="747"/>
        <w:gridCol w:w="747"/>
        <w:gridCol w:w="881"/>
        <w:gridCol w:w="881"/>
        <w:gridCol w:w="881"/>
        <w:gridCol w:w="88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Merge w:val="restar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温度℃</w:t>
            </w:r>
          </w:p>
        </w:tc>
        <w:tc>
          <w:tcPr>
            <w:tcW w:w="1685" w:type="dxa"/>
            <w:vMerge w:val="restar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相对湿度%</w:t>
            </w:r>
          </w:p>
        </w:tc>
        <w:tc>
          <w:tcPr>
            <w:tcW w:w="6314" w:type="dxa"/>
            <w:gridSpan w:val="8"/>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大气吸收衰减系数α，dB/km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Merge w:val="continue"/>
            <w:tcBorders>
              <w:tl2br w:val="nil"/>
              <w:tr2bl w:val="nil"/>
            </w:tcBorders>
            <w:noWrap w:val="0"/>
            <w:vAlign w:val="center"/>
          </w:tcPr>
          <w:p>
            <w:pPr>
              <w:adjustRightInd w:val="0"/>
              <w:jc w:val="center"/>
              <w:rPr>
                <w:rFonts w:hint="default" w:ascii="Times New Roman" w:hAnsi="Times New Roman" w:cs="Times New Roman"/>
                <w:b w:val="0"/>
                <w:bCs/>
                <w:sz w:val="21"/>
                <w:szCs w:val="21"/>
              </w:rPr>
            </w:pPr>
          </w:p>
        </w:tc>
        <w:tc>
          <w:tcPr>
            <w:tcW w:w="1685" w:type="dxa"/>
            <w:vMerge w:val="continue"/>
            <w:tcBorders>
              <w:tl2br w:val="nil"/>
              <w:tr2bl w:val="nil"/>
            </w:tcBorders>
            <w:noWrap w:val="0"/>
            <w:vAlign w:val="center"/>
          </w:tcPr>
          <w:p>
            <w:pPr>
              <w:adjustRightInd w:val="0"/>
              <w:jc w:val="center"/>
              <w:rPr>
                <w:rFonts w:hint="default" w:ascii="Times New Roman" w:hAnsi="Times New Roman" w:cs="Times New Roman"/>
                <w:b w:val="0"/>
                <w:bCs/>
                <w:sz w:val="21"/>
                <w:szCs w:val="21"/>
              </w:rPr>
            </w:pPr>
          </w:p>
        </w:tc>
        <w:tc>
          <w:tcPr>
            <w:tcW w:w="6314" w:type="dxa"/>
            <w:gridSpan w:val="8"/>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倍频带中心频率Hz</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Merge w:val="continue"/>
            <w:tcBorders>
              <w:tl2br w:val="nil"/>
              <w:tr2bl w:val="nil"/>
            </w:tcBorders>
            <w:noWrap w:val="0"/>
            <w:vAlign w:val="center"/>
          </w:tcPr>
          <w:p>
            <w:pPr>
              <w:adjustRightInd w:val="0"/>
              <w:jc w:val="center"/>
              <w:rPr>
                <w:rFonts w:hint="default" w:ascii="Times New Roman" w:hAnsi="Times New Roman" w:cs="Times New Roman"/>
                <w:b w:val="0"/>
                <w:bCs/>
                <w:sz w:val="21"/>
                <w:szCs w:val="21"/>
              </w:rPr>
            </w:pPr>
          </w:p>
        </w:tc>
        <w:tc>
          <w:tcPr>
            <w:tcW w:w="1685" w:type="dxa"/>
            <w:vMerge w:val="continue"/>
            <w:tcBorders>
              <w:tl2br w:val="nil"/>
              <w:tr2bl w:val="nil"/>
            </w:tcBorders>
            <w:noWrap w:val="0"/>
            <w:vAlign w:val="center"/>
          </w:tcPr>
          <w:p>
            <w:pPr>
              <w:adjustRightInd w:val="0"/>
              <w:jc w:val="center"/>
              <w:rPr>
                <w:rFonts w:hint="default" w:ascii="Times New Roman" w:hAnsi="Times New Roman" w:cs="Times New Roman"/>
                <w:b w:val="0"/>
                <w:bCs/>
                <w:sz w:val="21"/>
                <w:szCs w:val="21"/>
              </w:rPr>
            </w:pPr>
          </w:p>
        </w:tc>
        <w:tc>
          <w:tcPr>
            <w:tcW w:w="65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63</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125</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250</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500</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1000</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2000</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4000</w:t>
            </w:r>
          </w:p>
        </w:tc>
        <w:tc>
          <w:tcPr>
            <w:tcW w:w="86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8000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w:t>
            </w:r>
          </w:p>
        </w:tc>
        <w:tc>
          <w:tcPr>
            <w:tcW w:w="168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70</w:t>
            </w:r>
          </w:p>
        </w:tc>
        <w:tc>
          <w:tcPr>
            <w:tcW w:w="65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0.1</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0.4</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1.9</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3.7</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9.7</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32.8</w:t>
            </w:r>
          </w:p>
        </w:tc>
        <w:tc>
          <w:tcPr>
            <w:tcW w:w="86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117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w:t>
            </w:r>
          </w:p>
        </w:tc>
        <w:tc>
          <w:tcPr>
            <w:tcW w:w="168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70</w:t>
            </w:r>
          </w:p>
        </w:tc>
        <w:tc>
          <w:tcPr>
            <w:tcW w:w="65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0.1</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0.3</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1.1</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2.8</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9</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22.9</w:t>
            </w:r>
          </w:p>
        </w:tc>
        <w:tc>
          <w:tcPr>
            <w:tcW w:w="86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76.6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30</w:t>
            </w:r>
          </w:p>
        </w:tc>
        <w:tc>
          <w:tcPr>
            <w:tcW w:w="168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70</w:t>
            </w:r>
          </w:p>
        </w:tc>
        <w:tc>
          <w:tcPr>
            <w:tcW w:w="65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0.1</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0.3</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3.1</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7.4</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12.7</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23.1</w:t>
            </w:r>
          </w:p>
        </w:tc>
        <w:tc>
          <w:tcPr>
            <w:tcW w:w="86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59.3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15</w:t>
            </w:r>
          </w:p>
        </w:tc>
        <w:tc>
          <w:tcPr>
            <w:tcW w:w="168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w:t>
            </w:r>
          </w:p>
        </w:tc>
        <w:tc>
          <w:tcPr>
            <w:tcW w:w="65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0.3</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0.6</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1.2</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2.7</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8.2</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28.2</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28.8</w:t>
            </w:r>
          </w:p>
        </w:tc>
        <w:tc>
          <w:tcPr>
            <w:tcW w:w="86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15</w:t>
            </w:r>
          </w:p>
        </w:tc>
        <w:tc>
          <w:tcPr>
            <w:tcW w:w="168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50</w:t>
            </w:r>
          </w:p>
        </w:tc>
        <w:tc>
          <w:tcPr>
            <w:tcW w:w="65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0.1</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0.5</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1.2</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2.2</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4.2</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10.8</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36.2</w:t>
            </w:r>
          </w:p>
        </w:tc>
        <w:tc>
          <w:tcPr>
            <w:tcW w:w="86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15</w:t>
            </w:r>
          </w:p>
        </w:tc>
        <w:tc>
          <w:tcPr>
            <w:tcW w:w="168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80</w:t>
            </w:r>
          </w:p>
        </w:tc>
        <w:tc>
          <w:tcPr>
            <w:tcW w:w="655"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0.1</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0.3</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1.1</w:t>
            </w:r>
          </w:p>
        </w:tc>
        <w:tc>
          <w:tcPr>
            <w:tcW w:w="72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2.4</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4.1</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8.3</w:t>
            </w:r>
          </w:p>
        </w:tc>
        <w:tc>
          <w:tcPr>
            <w:tcW w:w="870"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23.7</w:t>
            </w:r>
          </w:p>
        </w:tc>
        <w:tc>
          <w:tcPr>
            <w:tcW w:w="86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82.8</w:t>
            </w:r>
          </w:p>
        </w:tc>
      </w:tr>
    </w:tbl>
    <w:p>
      <w:pPr>
        <w:adjustRightInd w:val="0"/>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4）由其他方面原因引起的衰减（</w:t>
      </w:r>
      <w:r>
        <w:rPr>
          <w:rFonts w:hint="default" w:ascii="Times New Roman" w:hAnsi="Times New Roman" w:eastAsia="宋体" w:cs="Times New Roman"/>
          <w:b w:val="0"/>
          <w:bCs w:val="0"/>
          <w:sz w:val="24"/>
          <w:szCs w:val="24"/>
          <w:lang w:val="en-US" w:eastAsia="zh-CN" w:bidi="zh-CN"/>
        </w:rPr>
        <w:drawing>
          <wp:inline distT="0" distB="0" distL="114300" distR="114300">
            <wp:extent cx="304800" cy="228600"/>
            <wp:effectExtent l="0" t="0" r="0" b="0"/>
            <wp:docPr id="23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64"/>
                    <pic:cNvPicPr>
                      <a:picLocks noChangeAspect="1"/>
                    </pic:cNvPicPr>
                  </pic:nvPicPr>
                  <pic:blipFill>
                    <a:blip r:embed="rId89"/>
                    <a:stretch>
                      <a:fillRect/>
                    </a:stretch>
                  </pic:blipFill>
                  <pic:spPr>
                    <a:xfrm>
                      <a:off x="0" y="0"/>
                      <a:ext cx="304800"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其他衰减包括通过工业场所的衰减；通过房屋群的衰减等。在声环境影响评价中，一般情况下，不考虑自然条件（如风</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温度梯度</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雾）变化引起的附加修正。工业场所的衰减</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房屋群的衰减等可参照GB/T17247.2进行计算。</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（3）由反射等引起的修正量</w:t>
      </w:r>
      <w:r>
        <w:rPr>
          <w:rFonts w:hint="default" w:ascii="Times New Roman" w:hAnsi="Times New Roman" w:eastAsia="宋体" w:cs="Times New Roman"/>
          <w:b w:val="0"/>
          <w:bCs w:val="0"/>
          <w:sz w:val="24"/>
          <w:szCs w:val="24"/>
          <w:lang w:val="en-US" w:eastAsia="zh-CN" w:bidi="zh-CN"/>
        </w:rPr>
        <w:drawing>
          <wp:inline distT="0" distB="0" distL="114300" distR="114300">
            <wp:extent cx="266700" cy="228600"/>
            <wp:effectExtent l="0" t="0" r="0" b="0"/>
            <wp:docPr id="23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65"/>
                    <pic:cNvPicPr>
                      <a:picLocks noChangeAspect="1"/>
                    </pic:cNvPicPr>
                  </pic:nvPicPr>
                  <pic:blipFill>
                    <a:blip r:embed="rId90"/>
                    <a:stretch>
                      <a:fillRect/>
                    </a:stretch>
                  </pic:blipFill>
                  <pic:spPr>
                    <a:xfrm>
                      <a:off x="0" y="0"/>
                      <a:ext cx="266700" cy="22860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1）道路交叉路口噪声（影响）修正量</w:t>
      </w:r>
    </w:p>
    <w:p>
      <w:pPr>
        <w:autoSpaceDE w:val="0"/>
        <w:autoSpaceDN w:val="0"/>
        <w:adjustRightInd w:val="0"/>
        <w:snapToGrid w:val="0"/>
        <w:spacing w:line="360" w:lineRule="auto"/>
        <w:ind w:firstLine="480" w:firstLineChars="200"/>
        <w:rPr>
          <w:rFonts w:hint="default" w:ascii="Times New Roman" w:hAnsi="Times New Roman" w:cs="Times New Roman"/>
          <w:b w:val="0"/>
          <w:bCs/>
          <w:sz w:val="21"/>
          <w:szCs w:val="21"/>
        </w:rPr>
      </w:pPr>
      <w:r>
        <w:rPr>
          <w:rFonts w:hint="default" w:ascii="Times New Roman" w:hAnsi="Times New Roman" w:eastAsia="宋体" w:cs="Times New Roman"/>
          <w:b w:val="0"/>
          <w:bCs w:val="0"/>
          <w:sz w:val="24"/>
          <w:szCs w:val="24"/>
          <w:lang w:val="en-US" w:eastAsia="zh-CN" w:bidi="zh-CN"/>
        </w:rPr>
        <w:t>交叉路口的噪声修正值（附加值）见下表。</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bookmarkStart w:id="115" w:name="_Ref339878774"/>
      <w:r>
        <w:rPr>
          <w:rFonts w:hint="eastAsia" w:ascii="Times New Roman" w:hAnsi="Times New Roman" w:cs="Times New Roman"/>
          <w:b/>
          <w:bCs w:val="0"/>
          <w:kern w:val="0"/>
          <w:sz w:val="21"/>
          <w:szCs w:val="21"/>
          <w:lang w:val="en-US" w:eastAsia="zh-CN"/>
        </w:rPr>
        <w:t xml:space="preserve">表4.4-8 </w:t>
      </w:r>
      <w:r>
        <w:rPr>
          <w:rFonts w:hint="default" w:ascii="Times New Roman" w:hAnsi="Times New Roman" w:eastAsia="宋体" w:cs="Times New Roman"/>
          <w:b/>
          <w:bCs w:val="0"/>
          <w:kern w:val="0"/>
          <w:sz w:val="21"/>
          <w:szCs w:val="21"/>
        </w:rPr>
        <w:t>交叉路口的噪声附加量</w:t>
      </w:r>
      <w:bookmarkEnd w:id="115"/>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89"/>
        <w:gridCol w:w="265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 w:hRule="atLeast"/>
          <w:jc w:val="center"/>
        </w:trPr>
        <w:tc>
          <w:tcPr>
            <w:tcW w:w="356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受噪声影响点至最近快车道中轴线交叉点的距离m</w:t>
            </w:r>
          </w:p>
        </w:tc>
        <w:tc>
          <w:tcPr>
            <w:tcW w:w="143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交叉路口</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dB</w:t>
            </w:r>
            <w:r>
              <w:rPr>
                <w:rFonts w:hint="eastAsia" w:ascii="Times New Roman" w:hAnsi="Times New Roman" w:cs="Times New Roman"/>
                <w:b w:val="0"/>
                <w:bCs/>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6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w:t>
            </w:r>
          </w:p>
        </w:tc>
        <w:tc>
          <w:tcPr>
            <w:tcW w:w="143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 w:hRule="atLeast"/>
          <w:jc w:val="center"/>
        </w:trPr>
        <w:tc>
          <w:tcPr>
            <w:tcW w:w="356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40＜D≤70</w:t>
            </w:r>
          </w:p>
        </w:tc>
        <w:tc>
          <w:tcPr>
            <w:tcW w:w="143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6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70＜D≤100</w:t>
            </w:r>
          </w:p>
        </w:tc>
        <w:tc>
          <w:tcPr>
            <w:tcW w:w="143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64"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＞100</w:t>
            </w:r>
          </w:p>
        </w:tc>
        <w:tc>
          <w:tcPr>
            <w:tcW w:w="1435"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w:t>
            </w:r>
          </w:p>
        </w:tc>
      </w:tr>
    </w:tbl>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2）两侧建筑物的反射声修正量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地貌以及声源两侧建筑物反射影响因素的修正。当线路两侧建筑物间距小于总计算高度30%时，其反射声修正量为：</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两侧建筑物是反射面时：</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933450" cy="342900"/>
            <wp:effectExtent l="0" t="0" r="0" b="0"/>
            <wp:docPr id="23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6"/>
                    <pic:cNvPicPr>
                      <a:picLocks noChangeAspect="1"/>
                    </pic:cNvPicPr>
                  </pic:nvPicPr>
                  <pic:blipFill>
                    <a:blip r:embed="rId91"/>
                    <a:stretch>
                      <a:fillRect/>
                    </a:stretch>
                  </pic:blipFill>
                  <pic:spPr>
                    <a:xfrm>
                      <a:off x="0" y="0"/>
                      <a:ext cx="933450" cy="3429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≤3.2dB</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两侧建筑物是一般吸收性表面：</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057275" cy="390525"/>
            <wp:effectExtent l="0" t="0" r="9525" b="8890"/>
            <wp:docPr id="23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7"/>
                    <pic:cNvPicPr>
                      <a:picLocks noChangeAspect="1"/>
                    </pic:cNvPicPr>
                  </pic:nvPicPr>
                  <pic:blipFill>
                    <a:blip r:embed="rId92"/>
                    <a:stretch>
                      <a:fillRect/>
                    </a:stretch>
                  </pic:blipFill>
                  <pic:spPr>
                    <a:xfrm>
                      <a:off x="0" y="0"/>
                      <a:ext cx="1057275" cy="39052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≤1.6dB</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两侧建筑物为全吸收性表面：</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742950" cy="276225"/>
            <wp:effectExtent l="0" t="0" r="0" b="0"/>
            <wp:docPr id="23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8"/>
                    <pic:cNvPicPr>
                      <a:picLocks noChangeAspect="1"/>
                    </pic:cNvPicPr>
                  </pic:nvPicPr>
                  <pic:blipFill>
                    <a:blip r:embed="rId93"/>
                    <a:stretch>
                      <a:fillRect/>
                    </a:stretch>
                  </pic:blipFill>
                  <pic:spPr>
                    <a:xfrm>
                      <a:off x="0" y="0"/>
                      <a:ext cx="742950" cy="27622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w:t>
      </w:r>
      <w:r>
        <w:rPr>
          <w:rFonts w:hint="default" w:ascii="Times New Roman" w:hAnsi="Times New Roman" w:eastAsia="宋体" w:cs="Times New Roman"/>
          <w:b w:val="0"/>
          <w:bCs w:val="0"/>
          <w:sz w:val="24"/>
          <w:szCs w:val="24"/>
          <w:lang w:val="en-US" w:eastAsia="zh-CN" w:bidi="zh-CN"/>
        </w:rPr>
        <w:drawing>
          <wp:inline distT="0" distB="0" distL="114300" distR="114300">
            <wp:extent cx="152400" cy="142875"/>
            <wp:effectExtent l="0" t="0" r="0" b="6985"/>
            <wp:docPr id="23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9"/>
                    <pic:cNvPicPr>
                      <a:picLocks noChangeAspect="1"/>
                    </pic:cNvPicPr>
                  </pic:nvPicPr>
                  <pic:blipFill>
                    <a:blip r:embed="rId94"/>
                    <a:stretch>
                      <a:fillRect/>
                    </a:stretch>
                  </pic:blipFill>
                  <pic:spPr>
                    <a:xfrm>
                      <a:off x="0" y="0"/>
                      <a:ext cx="152400" cy="142875"/>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—为线路两侧建筑物反射面的间距，m；</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219075" cy="228600"/>
            <wp:effectExtent l="0" t="0" r="9525" b="0"/>
            <wp:docPr id="24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70"/>
                    <pic:cNvPicPr>
                      <a:picLocks noChangeAspect="1"/>
                    </pic:cNvPicPr>
                  </pic:nvPicPr>
                  <pic:blipFill>
                    <a:blip r:embed="rId95"/>
                    <a:stretch>
                      <a:fillRect/>
                    </a:stretch>
                  </pic:blipFill>
                  <pic:spPr>
                    <a:xfrm>
                      <a:off x="0" y="0"/>
                      <a:ext cx="219075" cy="228600"/>
                    </a:xfrm>
                    <a:prstGeom prst="rect">
                      <a:avLst/>
                    </a:prstGeom>
                    <a:noFill/>
                    <a:ln>
                      <a:noFill/>
                    </a:ln>
                  </pic:spPr>
                </pic:pic>
              </a:graphicData>
            </a:graphic>
          </wp:inline>
        </w:drawing>
      </w:r>
      <w:r>
        <w:rPr>
          <w:rFonts w:hint="default" w:ascii="Times New Roman" w:hAnsi="Times New Roman" w:eastAsia="宋体" w:cs="Times New Roman"/>
          <w:b w:val="0"/>
          <w:bCs w:val="0"/>
          <w:sz w:val="24"/>
          <w:szCs w:val="24"/>
          <w:lang w:val="en-US" w:eastAsia="zh-CN" w:bidi="zh-CN"/>
        </w:rPr>
        <w:t>—为构筑物的平均高度h，取线路两侧较低一侧高度平均值代入计算，m。</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bookmarkStart w:id="116" w:name="_Toc28529"/>
      <w:bookmarkStart w:id="117" w:name="_Toc23936"/>
      <w:bookmarkStart w:id="118" w:name="_Toc4056"/>
      <w:bookmarkStart w:id="119" w:name="_Toc27427323"/>
      <w:bookmarkStart w:id="120" w:name="_Toc42957748"/>
      <w:bookmarkStart w:id="121" w:name="_Toc43577187"/>
      <w:bookmarkStart w:id="122" w:name="_Toc41151485"/>
      <w:r>
        <w:rPr>
          <w:rFonts w:hint="default" w:ascii="Times New Roman" w:hAnsi="Times New Roman" w:eastAsia="宋体" w:cs="Times New Roman"/>
          <w:b w:val="0"/>
          <w:bCs w:val="0"/>
          <w:sz w:val="24"/>
          <w:szCs w:val="24"/>
          <w:lang w:val="en-US" w:eastAsia="zh-CN" w:bidi="zh-CN"/>
        </w:rPr>
        <w:t>预测相关参数</w:t>
      </w:r>
      <w:bookmarkEnd w:id="116"/>
      <w:bookmarkEnd w:id="117"/>
      <w:bookmarkEnd w:id="118"/>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车流量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（1）预测交通量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根据项目可研资料，确定项目预测特征年为2026</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2031</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2039年</w:t>
      </w:r>
      <w:r>
        <w:rPr>
          <w:rFonts w:hint="default" w:ascii="Times New Roman" w:hAnsi="Times New Roman" w:eastAsia="宋体" w:cs="Times New Roman"/>
          <w:b w:val="0"/>
          <w:bCs w:val="0"/>
          <w:sz w:val="24"/>
          <w:szCs w:val="24"/>
          <w:lang w:val="en-US" w:eastAsia="zh-CN" w:bidi="zh-CN"/>
        </w:rPr>
        <w:t>，车流量预测统计情况见下表：</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表4.4-9 </w:t>
      </w:r>
      <w:r>
        <w:rPr>
          <w:rFonts w:hint="default" w:ascii="Times New Roman" w:hAnsi="Times New Roman" w:eastAsia="宋体" w:cs="Times New Roman"/>
          <w:b/>
          <w:bCs w:val="0"/>
          <w:kern w:val="0"/>
          <w:sz w:val="21"/>
          <w:szCs w:val="21"/>
        </w:rPr>
        <w:t>交通量预测结果  单位：pcu/d</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30" w:type="dxa"/>
          <w:bottom w:w="0" w:type="dxa"/>
          <w:right w:w="30" w:type="dxa"/>
        </w:tblCellMar>
      </w:tblPr>
      <w:tblGrid>
        <w:gridCol w:w="2152"/>
        <w:gridCol w:w="2078"/>
        <w:gridCol w:w="2034"/>
        <w:gridCol w:w="28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jc w:val="center"/>
        </w:trPr>
        <w:tc>
          <w:tcPr>
            <w:tcW w:w="1841" w:type="dxa"/>
            <w:vMerge w:val="restar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道路名称</w:t>
            </w:r>
          </w:p>
        </w:tc>
        <w:tc>
          <w:tcPr>
            <w:tcW w:w="5936" w:type="dxa"/>
            <w:gridSpan w:val="3"/>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PCU流量（pcu/d）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jc w:val="center"/>
        </w:trPr>
        <w:tc>
          <w:tcPr>
            <w:tcW w:w="1841" w:type="dxa"/>
            <w:vMerge w:val="continue"/>
            <w:tcBorders>
              <w:tl2br w:val="nil"/>
              <w:tr2bl w:val="nil"/>
            </w:tcBorders>
            <w:noWrap w:val="0"/>
            <w:vAlign w:val="center"/>
          </w:tcPr>
          <w:p>
            <w:pPr>
              <w:widowControl/>
              <w:jc w:val="left"/>
              <w:rPr>
                <w:rFonts w:hint="default" w:ascii="Times New Roman" w:hAnsi="Times New Roman" w:cs="Times New Roman"/>
                <w:b w:val="0"/>
                <w:bCs/>
                <w:sz w:val="21"/>
                <w:szCs w:val="21"/>
              </w:rPr>
            </w:pPr>
          </w:p>
        </w:tc>
        <w:tc>
          <w:tcPr>
            <w:tcW w:w="1777"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2025年</w:t>
            </w:r>
          </w:p>
        </w:tc>
        <w:tc>
          <w:tcPr>
            <w:tcW w:w="1740"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2031年</w:t>
            </w:r>
          </w:p>
        </w:tc>
        <w:tc>
          <w:tcPr>
            <w:tcW w:w="2419" w:type="dxa"/>
            <w:tcBorders>
              <w:tl2br w:val="nil"/>
              <w:tr2bl w:val="nil"/>
            </w:tcBorders>
            <w:noWrap w:val="0"/>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eastAsia="zh-CN"/>
              </w:rPr>
              <w:t>2039年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jc w:val="center"/>
        </w:trPr>
        <w:tc>
          <w:tcPr>
            <w:tcW w:w="1841" w:type="dxa"/>
            <w:tcBorders>
              <w:tl2br w:val="nil"/>
              <w:tr2bl w:val="nil"/>
            </w:tcBorders>
            <w:noWrap w:val="0"/>
            <w:vAlign w:val="center"/>
          </w:tcPr>
          <w:p>
            <w:pPr>
              <w:widowControl/>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kern w:val="0"/>
                <w:sz w:val="21"/>
                <w:szCs w:val="21"/>
                <w:lang w:val="en-US" w:eastAsia="zh-CN" w:bidi="ar"/>
              </w:rPr>
              <w:t>本项目</w:t>
            </w:r>
          </w:p>
        </w:tc>
        <w:tc>
          <w:tcPr>
            <w:tcW w:w="1777"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5586</w:t>
            </w:r>
          </w:p>
        </w:tc>
        <w:tc>
          <w:tcPr>
            <w:tcW w:w="1740"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6668</w:t>
            </w:r>
          </w:p>
        </w:tc>
        <w:tc>
          <w:tcPr>
            <w:tcW w:w="2419" w:type="dxa"/>
            <w:tcBorders>
              <w:tl2br w:val="nil"/>
              <w:tr2bl w:val="nil"/>
            </w:tcBorders>
            <w:noWrap w:val="0"/>
            <w:vAlign w:val="center"/>
          </w:tcPr>
          <w:p>
            <w:pPr>
              <w:keepNext w:val="0"/>
              <w:keepLines w:val="0"/>
              <w:widowControl/>
              <w:suppressLineNumbers w:val="0"/>
              <w:jc w:val="center"/>
              <w:textAlignment w:val="auto"/>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7721</w:t>
            </w:r>
          </w:p>
        </w:tc>
      </w:tr>
    </w:tbl>
    <w:p>
      <w:pPr>
        <w:spacing w:line="360" w:lineRule="auto"/>
        <w:ind w:firstLine="420" w:firstLineChars="200"/>
        <w:rPr>
          <w:rFonts w:hint="default" w:ascii="Times New Roman" w:hAnsi="Times New Roman" w:cs="Times New Roman"/>
          <w:b w:val="0"/>
          <w:bCs/>
          <w:sz w:val="21"/>
          <w:szCs w:val="21"/>
          <w:lang w:val="en-US" w:eastAsia="zh-CN"/>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（2）车型比及昼夜比</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1）车型分类及折算系数</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车型分为小</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中</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大三种，车型分类标准见下表。</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表4.4-10 </w:t>
      </w:r>
      <w:r>
        <w:rPr>
          <w:rFonts w:hint="default" w:ascii="Times New Roman" w:hAnsi="Times New Roman" w:eastAsia="宋体" w:cs="Times New Roman"/>
          <w:b/>
          <w:bCs w:val="0"/>
          <w:kern w:val="0"/>
          <w:sz w:val="21"/>
          <w:szCs w:val="21"/>
        </w:rPr>
        <w:t>车型分类标准</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563"/>
        <w:gridCol w:w="56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92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车型</w:t>
            </w:r>
          </w:p>
        </w:tc>
        <w:tc>
          <w:tcPr>
            <w:tcW w:w="307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汽车总质量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92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小型车</w:t>
            </w:r>
          </w:p>
        </w:tc>
        <w:tc>
          <w:tcPr>
            <w:tcW w:w="307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3.5t以下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92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中型车</w:t>
            </w:r>
          </w:p>
        </w:tc>
        <w:tc>
          <w:tcPr>
            <w:tcW w:w="307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3.5t以上</w:t>
            </w:r>
            <w:r>
              <w:rPr>
                <w:rFonts w:hint="default" w:ascii="Times New Roman" w:hAnsi="Times New Roman" w:cs="Times New Roman"/>
                <w:b w:val="0"/>
                <w:bCs/>
                <w:sz w:val="21"/>
                <w:szCs w:val="21"/>
                <w:highlight w:val="none"/>
              </w:rPr>
              <w:t>-</w:t>
            </w:r>
            <w:r>
              <w:rPr>
                <w:rFonts w:hint="default" w:ascii="Times New Roman" w:hAnsi="Times New Roman" w:cs="Times New Roman"/>
                <w:b w:val="0"/>
                <w:bCs/>
                <w:sz w:val="21"/>
                <w:szCs w:val="21"/>
              </w:rPr>
              <w:t>12t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927"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大型车</w:t>
            </w:r>
          </w:p>
        </w:tc>
        <w:tc>
          <w:tcPr>
            <w:tcW w:w="307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12t以上</w:t>
            </w:r>
          </w:p>
        </w:tc>
      </w:tr>
    </w:tbl>
    <w:p>
      <w:pPr>
        <w:ind w:left="480" w:leftChars="200"/>
        <w:rPr>
          <w:rFonts w:hint="default" w:ascii="Times New Roman" w:hAnsi="Times New Roman" w:cs="Times New Roman"/>
          <w:b w:val="0"/>
          <w:bCs/>
          <w:sz w:val="21"/>
          <w:szCs w:val="21"/>
        </w:rPr>
      </w:pPr>
      <w:r>
        <w:rPr>
          <w:rFonts w:hint="default" w:ascii="Times New Roman" w:hAnsi="Times New Roman" w:cs="Times New Roman"/>
          <w:b w:val="0"/>
          <w:bCs/>
          <w:sz w:val="21"/>
          <w:szCs w:val="21"/>
        </w:rPr>
        <w:t>注：小型车一般包括小货</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轿车</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7座（含7座）以下旅游车等；</w:t>
      </w:r>
    </w:p>
    <w:p>
      <w:pPr>
        <w:ind w:left="480" w:leftChars="200" w:firstLine="420" w:firstLineChars="200"/>
        <w:rPr>
          <w:rFonts w:hint="default" w:ascii="Times New Roman" w:hAnsi="Times New Roman" w:cs="Times New Roman"/>
          <w:b w:val="0"/>
          <w:bCs/>
          <w:sz w:val="21"/>
          <w:szCs w:val="21"/>
        </w:rPr>
      </w:pPr>
      <w:r>
        <w:rPr>
          <w:rFonts w:hint="default" w:ascii="Times New Roman" w:hAnsi="Times New Roman" w:cs="Times New Roman"/>
          <w:b w:val="0"/>
          <w:bCs/>
          <w:sz w:val="21"/>
          <w:szCs w:val="21"/>
        </w:rPr>
        <w:t>中型车一般包括中货</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中客（7座</w:t>
      </w:r>
      <w:r>
        <w:rPr>
          <w:rFonts w:hint="default" w:ascii="Times New Roman" w:hAnsi="Times New Roman" w:cs="Times New Roman"/>
          <w:b w:val="0"/>
          <w:bCs/>
          <w:sz w:val="21"/>
          <w:szCs w:val="21"/>
          <w:highlight w:val="none"/>
        </w:rPr>
        <w:t>-</w:t>
      </w:r>
      <w:r>
        <w:rPr>
          <w:rFonts w:hint="default" w:ascii="Times New Roman" w:hAnsi="Times New Roman" w:cs="Times New Roman"/>
          <w:b w:val="0"/>
          <w:bCs/>
          <w:sz w:val="21"/>
          <w:szCs w:val="21"/>
        </w:rPr>
        <w:t>40座）</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农用三轮</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四轮等；</w:t>
      </w:r>
    </w:p>
    <w:p>
      <w:pPr>
        <w:ind w:left="480" w:leftChars="200" w:firstLine="420" w:firstLineChars="200"/>
        <w:rPr>
          <w:rFonts w:hint="default" w:ascii="Times New Roman" w:hAnsi="Times New Roman" w:cs="Times New Roman"/>
          <w:b w:val="0"/>
          <w:bCs/>
          <w:sz w:val="21"/>
          <w:szCs w:val="21"/>
        </w:rPr>
      </w:pPr>
      <w:r>
        <w:rPr>
          <w:rFonts w:hint="default" w:ascii="Times New Roman" w:hAnsi="Times New Roman" w:cs="Times New Roman"/>
          <w:b w:val="0"/>
          <w:bCs/>
          <w:sz w:val="21"/>
          <w:szCs w:val="21"/>
        </w:rPr>
        <w:t>大型车一般包括集装箱车</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拖挂车</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工程车</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大客车（40座以上）</w:t>
      </w:r>
      <w:r>
        <w:rPr>
          <w:rFonts w:hint="eastAsia" w:ascii="Times New Roman" w:hAnsi="Times New Roman" w:cs="Times New Roman"/>
          <w:b w:val="0"/>
          <w:bCs/>
          <w:sz w:val="21"/>
          <w:szCs w:val="21"/>
          <w:lang w:eastAsia="zh-CN"/>
        </w:rPr>
        <w:t>、</w:t>
      </w:r>
      <w:r>
        <w:rPr>
          <w:rFonts w:hint="default" w:ascii="Times New Roman" w:hAnsi="Times New Roman" w:cs="Times New Roman"/>
          <w:b w:val="0"/>
          <w:bCs/>
          <w:sz w:val="21"/>
          <w:szCs w:val="21"/>
        </w:rPr>
        <w:t>大货车等。大型车和小型车以外的车辆，可按相近归类。</w:t>
      </w:r>
    </w:p>
    <w:p>
      <w:pPr>
        <w:keepNext w:val="0"/>
        <w:ind w:firstLine="0" w:firstLineChars="0"/>
        <w:outlineLvl w:val="9"/>
        <w:rPr>
          <w:rFonts w:hint="default" w:ascii="Times New Roman" w:hAnsi="Times New Roman" w:cs="Times New Roman"/>
          <w:b w:val="0"/>
          <w:bCs/>
          <w:szCs w:val="21"/>
        </w:rPr>
      </w:pP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表4.4-11 </w:t>
      </w:r>
      <w:r>
        <w:rPr>
          <w:rFonts w:hint="default" w:ascii="Times New Roman" w:hAnsi="Times New Roman" w:eastAsia="宋体" w:cs="Times New Roman"/>
          <w:b/>
          <w:bCs w:val="0"/>
          <w:kern w:val="0"/>
          <w:sz w:val="21"/>
          <w:szCs w:val="21"/>
        </w:rPr>
        <w:t>各车型的折算系数</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292"/>
        <w:gridCol w:w="1984"/>
        <w:gridCol w:w="1984"/>
        <w:gridCol w:w="19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781"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车辆类型</w:t>
            </w:r>
          </w:p>
        </w:tc>
        <w:tc>
          <w:tcPr>
            <w:tcW w:w="1073"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小型车</w:t>
            </w:r>
          </w:p>
        </w:tc>
        <w:tc>
          <w:tcPr>
            <w:tcW w:w="1073"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中型车</w:t>
            </w:r>
          </w:p>
        </w:tc>
        <w:tc>
          <w:tcPr>
            <w:tcW w:w="107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大型车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781"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折算系数</w:t>
            </w:r>
          </w:p>
        </w:tc>
        <w:tc>
          <w:tcPr>
            <w:tcW w:w="1073"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w:t>
            </w:r>
          </w:p>
        </w:tc>
        <w:tc>
          <w:tcPr>
            <w:tcW w:w="1073"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1.5</w:t>
            </w:r>
          </w:p>
        </w:tc>
        <w:tc>
          <w:tcPr>
            <w:tcW w:w="1072" w:type="pct"/>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w:t>
            </w:r>
          </w:p>
        </w:tc>
      </w:tr>
    </w:tbl>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2）车型比及昼夜比</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根据区域道路交通量及车型统计，本工程预测各特征年通过的车辆以小型车为主，其次为中型车。根据区域部分路段车型分布情况和工程特点，各预测年交通量车型比和昼夜比见下表。</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表4.4-12 </w:t>
      </w:r>
      <w:r>
        <w:rPr>
          <w:rFonts w:hint="default" w:ascii="Times New Roman" w:hAnsi="Times New Roman" w:eastAsia="宋体" w:cs="Times New Roman"/>
          <w:b/>
          <w:bCs w:val="0"/>
          <w:kern w:val="0"/>
          <w:sz w:val="21"/>
          <w:szCs w:val="21"/>
        </w:rPr>
        <w:t>车型比和昼夜比</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0"/>
        <w:gridCol w:w="1601"/>
        <w:gridCol w:w="1597"/>
        <w:gridCol w:w="1522"/>
        <w:gridCol w:w="1449"/>
        <w:gridCol w:w="14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551" w:type="dxa"/>
            <w:vMerge w:val="restart"/>
            <w:tcBorders>
              <w:tl2br w:val="nil"/>
              <w:tr2bl w:val="nil"/>
            </w:tcBorders>
            <w:noWrap w:val="0"/>
            <w:vAlign w:val="center"/>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道路等级</w:t>
            </w:r>
          </w:p>
        </w:tc>
        <w:tc>
          <w:tcPr>
            <w:tcW w:w="1551" w:type="dxa"/>
            <w:vMerge w:val="restart"/>
            <w:tcBorders>
              <w:tl2br w:val="nil"/>
              <w:tr2bl w:val="nil"/>
            </w:tcBorders>
            <w:noWrap w:val="0"/>
            <w:vAlign w:val="top"/>
            <mc:AlternateContent>
              <mc:Choice Requires="wpsCustomData">
                <wpsCustomData:diagonals>
                  <wpsCustomData:diagonal from="10000" to="30000">
                    <wpsCustomData:border w:val="single" w:color="auto" w:sz="8" w:space="0"/>
                  </wpsCustomData:diagonal>
                </wpsCustomData:diagonals>
              </mc:Choice>
            </mc:AlternateContent>
          </w:tcPr>
          <w:p>
            <w:pPr>
              <w:snapToGrid w:val="0"/>
              <w:spacing w:line="240" w:lineRule="auto"/>
              <w:jc w:val="left"/>
              <w:rPr>
                <w:rFonts w:hint="default" w:ascii="Times New Roman" w:hAnsi="Times New Roman" w:cs="Times New Roman"/>
                <w:b w:val="0"/>
                <w:bCs/>
                <w:kern w:val="0"/>
                <w:sz w:val="21"/>
                <w:szCs w:val="21"/>
              </w:rPr>
            </w:pPr>
          </w:p>
          <w:p>
            <w:pPr>
              <w:snapToGrid w:val="0"/>
              <w:spacing w:line="240" w:lineRule="auto"/>
              <w:jc w:val="left"/>
              <mc:AlternateContent>
                <mc:Choice Requires="wpsCustomData">
                  <wpsCustomData:diagonalParaType/>
                </mc:Choice>
              </mc:AlternateContent>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年份</w:t>
            </w:r>
          </w:p>
          <w:p>
            <w:pPr>
              <w:jc w:val="right"/>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车型</w:t>
            </w:r>
          </w:p>
          <w:p>
            <w:pPr>
              <w:jc w:val="left"/>
              <w:rPr>
                <w:rFonts w:hint="default" w:ascii="Times New Roman" w:hAnsi="Times New Roman" w:cs="Times New Roman"/>
                <w:b w:val="0"/>
                <w:bCs/>
                <w:kern w:val="0"/>
                <w:sz w:val="21"/>
                <w:szCs w:val="21"/>
              </w:rPr>
            </w:pPr>
          </w:p>
        </w:tc>
        <w:tc>
          <w:tcPr>
            <w:tcW w:w="4418" w:type="dxa"/>
            <w:gridSpan w:val="3"/>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车型比</w:t>
            </w:r>
            <w:r>
              <w:rPr>
                <w:rFonts w:hint="eastAsia" w:ascii="Times New Roman" w:hAnsi="Times New Roman" w:cs="Times New Roman"/>
                <w:b w:val="0"/>
                <w:bCs/>
                <w:kern w:val="0"/>
                <w:sz w:val="21"/>
                <w:szCs w:val="21"/>
                <w:lang w:eastAsia="zh-CN"/>
              </w:rPr>
              <w:t>（</w:t>
            </w:r>
            <w:r>
              <w:rPr>
                <w:rFonts w:hint="default" w:ascii="Times New Roman" w:hAnsi="Times New Roman" w:cs="Times New Roman"/>
                <w:b w:val="0"/>
                <w:bCs/>
                <w:kern w:val="0"/>
                <w:sz w:val="21"/>
                <w:szCs w:val="21"/>
              </w:rPr>
              <w:t>%</w:t>
            </w:r>
            <w:r>
              <w:rPr>
                <w:rFonts w:hint="eastAsia" w:ascii="Times New Roman" w:hAnsi="Times New Roman" w:cs="Times New Roman"/>
                <w:b w:val="0"/>
                <w:bCs/>
                <w:kern w:val="0"/>
                <w:sz w:val="21"/>
                <w:szCs w:val="21"/>
                <w:lang w:eastAsia="zh-CN"/>
              </w:rPr>
              <w:t>）</w:t>
            </w:r>
          </w:p>
        </w:tc>
        <w:tc>
          <w:tcPr>
            <w:tcW w:w="1425" w:type="dxa"/>
            <w:vMerge w:val="restar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昼夜比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1551"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c>
          <w:tcPr>
            <w:tcW w:w="1551"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c>
          <w:tcPr>
            <w:tcW w:w="1547" w:type="dxa"/>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小型车</w:t>
            </w:r>
          </w:p>
        </w:tc>
        <w:tc>
          <w:tcPr>
            <w:tcW w:w="1472" w:type="dxa"/>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中型车</w:t>
            </w:r>
          </w:p>
        </w:tc>
        <w:tc>
          <w:tcPr>
            <w:tcW w:w="1399" w:type="dxa"/>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大型车</w:t>
            </w:r>
          </w:p>
        </w:tc>
        <w:tc>
          <w:tcPr>
            <w:tcW w:w="1425"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551" w:type="dxa"/>
            <w:vMerge w:val="restart"/>
            <w:tcBorders>
              <w:tl2br w:val="nil"/>
              <w:tr2bl w:val="nil"/>
            </w:tcBorders>
            <w:noWrap w:val="0"/>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本项目</w:t>
            </w:r>
          </w:p>
        </w:tc>
        <w:tc>
          <w:tcPr>
            <w:tcW w:w="1551" w:type="dxa"/>
            <w:tcBorders>
              <w:tl2br w:val="nil"/>
              <w:tr2bl w:val="nil"/>
            </w:tcBorders>
            <w:noWrap w:val="0"/>
            <w:vAlign w:val="top"/>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2025年</w:t>
            </w:r>
          </w:p>
        </w:tc>
        <w:tc>
          <w:tcPr>
            <w:tcW w:w="15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63.68</w:t>
            </w:r>
          </w:p>
        </w:tc>
        <w:tc>
          <w:tcPr>
            <w:tcW w:w="14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12.30</w:t>
            </w:r>
          </w:p>
        </w:tc>
        <w:tc>
          <w:tcPr>
            <w:tcW w:w="13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24.02</w:t>
            </w:r>
          </w:p>
        </w:tc>
        <w:tc>
          <w:tcPr>
            <w:tcW w:w="1425" w:type="dxa"/>
            <w:vMerge w:val="restart"/>
            <w:tcBorders>
              <w:tl2br w:val="nil"/>
              <w:tr2bl w:val="nil"/>
            </w:tcBorders>
            <w:noWrap w:val="0"/>
            <w:vAlign w:val="center"/>
          </w:tcPr>
          <w:p>
            <w:pPr>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lang w:val="en-US" w:eastAsia="zh-CN"/>
              </w:rPr>
              <w:t>8</w:t>
            </w:r>
            <w:r>
              <w:rPr>
                <w:rFonts w:hint="default" w:ascii="Times New Roman" w:hAnsi="Times New Roman" w:cs="Times New Roman"/>
                <w:b w:val="0"/>
                <w:bCs/>
                <w:kern w:val="0"/>
                <w:sz w:val="21"/>
                <w:szCs w:val="21"/>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551" w:type="dxa"/>
            <w:vMerge w:val="continue"/>
            <w:tcBorders>
              <w:tl2br w:val="nil"/>
              <w:tr2bl w:val="nil"/>
            </w:tcBorders>
            <w:noWrap w:val="0"/>
            <w:vAlign w:val="center"/>
          </w:tcPr>
          <w:p>
            <w:pPr>
              <w:jc w:val="center"/>
              <w:rPr>
                <w:rFonts w:hint="default" w:ascii="Times New Roman" w:hAnsi="Times New Roman" w:cs="Times New Roman"/>
                <w:b w:val="0"/>
                <w:bCs/>
                <w:kern w:val="0"/>
                <w:sz w:val="21"/>
                <w:szCs w:val="21"/>
                <w:lang w:eastAsia="zh-CN"/>
              </w:rPr>
            </w:pPr>
          </w:p>
        </w:tc>
        <w:tc>
          <w:tcPr>
            <w:tcW w:w="1551" w:type="dxa"/>
            <w:tcBorders>
              <w:tl2br w:val="nil"/>
              <w:tr2bl w:val="nil"/>
            </w:tcBorders>
            <w:noWrap w:val="0"/>
            <w:vAlign w:val="top"/>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2031年</w:t>
            </w:r>
          </w:p>
        </w:tc>
        <w:tc>
          <w:tcPr>
            <w:tcW w:w="1547"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64.32</w:t>
            </w:r>
          </w:p>
        </w:tc>
        <w:tc>
          <w:tcPr>
            <w:tcW w:w="1472"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11.98</w:t>
            </w:r>
          </w:p>
        </w:tc>
        <w:tc>
          <w:tcPr>
            <w:tcW w:w="13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23.70</w:t>
            </w:r>
          </w:p>
        </w:tc>
        <w:tc>
          <w:tcPr>
            <w:tcW w:w="1425"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1551" w:type="dxa"/>
            <w:vMerge w:val="continue"/>
            <w:tcBorders>
              <w:tl2br w:val="nil"/>
              <w:tr2bl w:val="nil"/>
            </w:tcBorders>
            <w:noWrap w:val="0"/>
            <w:vAlign w:val="center"/>
          </w:tcPr>
          <w:p>
            <w:pPr>
              <w:jc w:val="center"/>
              <w:rPr>
                <w:rFonts w:hint="default" w:ascii="Times New Roman" w:hAnsi="Times New Roman" w:cs="Times New Roman"/>
                <w:b w:val="0"/>
                <w:bCs/>
                <w:kern w:val="0"/>
                <w:sz w:val="21"/>
                <w:szCs w:val="21"/>
                <w:lang w:eastAsia="zh-CN"/>
              </w:rPr>
            </w:pPr>
          </w:p>
        </w:tc>
        <w:tc>
          <w:tcPr>
            <w:tcW w:w="1551" w:type="dxa"/>
            <w:tcBorders>
              <w:tl2br w:val="nil"/>
              <w:tr2bl w:val="nil"/>
            </w:tcBorders>
            <w:noWrap w:val="0"/>
            <w:vAlign w:val="top"/>
          </w:tcPr>
          <w:p>
            <w:pPr>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2039年</w:t>
            </w:r>
          </w:p>
        </w:tc>
        <w:tc>
          <w:tcPr>
            <w:tcW w:w="1547"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64.93</w:t>
            </w:r>
          </w:p>
        </w:tc>
        <w:tc>
          <w:tcPr>
            <w:tcW w:w="1472"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11.65</w:t>
            </w:r>
          </w:p>
        </w:tc>
        <w:tc>
          <w:tcPr>
            <w:tcW w:w="13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23.42</w:t>
            </w:r>
          </w:p>
        </w:tc>
        <w:tc>
          <w:tcPr>
            <w:tcW w:w="1425" w:type="dxa"/>
            <w:vMerge w:val="continue"/>
            <w:tcBorders>
              <w:tl2br w:val="nil"/>
              <w:tr2bl w:val="nil"/>
            </w:tcBorders>
            <w:noWrap w:val="0"/>
            <w:vAlign w:val="center"/>
          </w:tcPr>
          <w:p>
            <w:pPr>
              <w:widowControl/>
              <w:jc w:val="left"/>
              <w:rPr>
                <w:rFonts w:hint="default" w:ascii="Times New Roman" w:hAnsi="Times New Roman" w:cs="Times New Roman"/>
                <w:b w:val="0"/>
                <w:bCs/>
                <w:kern w:val="0"/>
                <w:sz w:val="21"/>
                <w:szCs w:val="21"/>
              </w:rPr>
            </w:pPr>
          </w:p>
        </w:tc>
      </w:tr>
    </w:tbl>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（3）车流量预测结果</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按上述各预测年的交通量（pcu/d）</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车型比和昼夜比系数，可计算出本项目新建路段新增的绝对车流量（辆/h），见下表。</w:t>
      </w:r>
    </w:p>
    <w:p>
      <w:pPr>
        <w:numPr>
          <w:ilvl w:val="0"/>
          <w:numId w:val="0"/>
        </w:numPr>
        <w:tabs>
          <w:tab w:val="left" w:pos="0"/>
        </w:tabs>
        <w:wordWrap/>
        <w:autoSpaceDE w:val="0"/>
        <w:autoSpaceDN w:val="0"/>
        <w:adjustRightInd w:val="0"/>
        <w:ind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表4.4-13 </w:t>
      </w:r>
      <w:r>
        <w:rPr>
          <w:rFonts w:hint="default" w:ascii="Times New Roman" w:hAnsi="Times New Roman" w:eastAsia="宋体" w:cs="Times New Roman"/>
          <w:b/>
          <w:bCs w:val="0"/>
          <w:kern w:val="0"/>
          <w:sz w:val="21"/>
          <w:szCs w:val="21"/>
        </w:rPr>
        <w:t>车流量预测结果</w:t>
      </w:r>
      <w:r>
        <w:rPr>
          <w:rFonts w:hint="default" w:ascii="Times New Roman" w:hAnsi="Times New Roman" w:cs="Times New Roman"/>
          <w:b/>
          <w:bCs w:val="0"/>
          <w:kern w:val="0"/>
          <w:sz w:val="21"/>
          <w:szCs w:val="21"/>
          <w:lang w:val="en-US" w:eastAsia="zh-CN"/>
        </w:rPr>
        <w:t xml:space="preserve">            </w:t>
      </w:r>
      <w:r>
        <w:rPr>
          <w:rFonts w:hint="default" w:ascii="Times New Roman" w:hAnsi="Times New Roman" w:eastAsia="宋体" w:cs="Times New Roman"/>
          <w:b/>
          <w:bCs w:val="0"/>
          <w:kern w:val="0"/>
          <w:sz w:val="21"/>
          <w:szCs w:val="21"/>
        </w:rPr>
        <w:t>单位：辆/h</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972"/>
        <w:gridCol w:w="1409"/>
        <w:gridCol w:w="1412"/>
        <w:gridCol w:w="1412"/>
        <w:gridCol w:w="1412"/>
        <w:gridCol w:w="14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1087"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路段</w:t>
            </w:r>
          </w:p>
        </w:tc>
        <w:tc>
          <w:tcPr>
            <w:tcW w:w="777"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年份</w:t>
            </w:r>
          </w:p>
        </w:tc>
        <w:tc>
          <w:tcPr>
            <w:tcW w:w="778"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时段</w:t>
            </w:r>
          </w:p>
        </w:tc>
        <w:tc>
          <w:tcPr>
            <w:tcW w:w="2356" w:type="pct"/>
            <w:gridSpan w:val="3"/>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车流量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108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8"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小型车</w:t>
            </w:r>
          </w:p>
        </w:tc>
        <w:tc>
          <w:tcPr>
            <w:tcW w:w="77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中型车</w:t>
            </w:r>
          </w:p>
        </w:tc>
        <w:tc>
          <w:tcPr>
            <w:tcW w:w="799"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大型车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jc w:val="center"/>
        </w:trPr>
        <w:tc>
          <w:tcPr>
            <w:tcW w:w="1087"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kern w:val="0"/>
                <w:sz w:val="21"/>
                <w:szCs w:val="21"/>
                <w:lang w:val="en-US" w:eastAsia="zh-CN"/>
              </w:rPr>
              <w:t>本项目</w:t>
            </w:r>
          </w:p>
        </w:tc>
        <w:tc>
          <w:tcPr>
            <w:tcW w:w="777"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kern w:val="0"/>
                <w:sz w:val="21"/>
                <w:szCs w:val="21"/>
                <w:lang w:eastAsia="zh-CN" w:bidi="ar"/>
              </w:rPr>
              <w:t>2025年</w:t>
            </w:r>
          </w:p>
        </w:tc>
        <w:tc>
          <w:tcPr>
            <w:tcW w:w="77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昼间</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263 </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34 </w:t>
            </w:r>
          </w:p>
        </w:tc>
        <w:tc>
          <w:tcPr>
            <w:tcW w:w="125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50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jc w:val="center"/>
        </w:trPr>
        <w:tc>
          <w:tcPr>
            <w:tcW w:w="108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夜间</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33 </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4 </w:t>
            </w:r>
          </w:p>
        </w:tc>
        <w:tc>
          <w:tcPr>
            <w:tcW w:w="125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jc w:val="center"/>
        </w:trPr>
        <w:tc>
          <w:tcPr>
            <w:tcW w:w="108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7"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kern w:val="0"/>
                <w:sz w:val="21"/>
                <w:szCs w:val="21"/>
                <w:lang w:eastAsia="zh-CN" w:bidi="ar"/>
              </w:rPr>
              <w:t>2031年</w:t>
            </w:r>
          </w:p>
        </w:tc>
        <w:tc>
          <w:tcPr>
            <w:tcW w:w="77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昼间</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318 </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39 </w:t>
            </w:r>
          </w:p>
        </w:tc>
        <w:tc>
          <w:tcPr>
            <w:tcW w:w="125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59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jc w:val="center"/>
        </w:trPr>
        <w:tc>
          <w:tcPr>
            <w:tcW w:w="108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夜间</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40 </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5 </w:t>
            </w:r>
          </w:p>
        </w:tc>
        <w:tc>
          <w:tcPr>
            <w:tcW w:w="125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jc w:val="center"/>
        </w:trPr>
        <w:tc>
          <w:tcPr>
            <w:tcW w:w="108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7"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kern w:val="0"/>
                <w:sz w:val="21"/>
                <w:szCs w:val="21"/>
                <w:lang w:eastAsia="zh-CN" w:bidi="ar"/>
              </w:rPr>
              <w:t>2039年</w:t>
            </w:r>
          </w:p>
        </w:tc>
        <w:tc>
          <w:tcPr>
            <w:tcW w:w="77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昼间</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371 </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44 </w:t>
            </w:r>
          </w:p>
        </w:tc>
        <w:tc>
          <w:tcPr>
            <w:tcW w:w="125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67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108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7"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b w:val="0"/>
                <w:bCs/>
                <w:sz w:val="21"/>
                <w:szCs w:val="21"/>
              </w:rPr>
            </w:pPr>
          </w:p>
        </w:tc>
        <w:tc>
          <w:tcPr>
            <w:tcW w:w="77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val="0"/>
                <w:bCs/>
                <w:sz w:val="21"/>
                <w:szCs w:val="21"/>
              </w:rPr>
            </w:pPr>
            <w:r>
              <w:rPr>
                <w:rFonts w:hint="default" w:ascii="Times New Roman" w:hAnsi="Times New Roman" w:cs="Times New Roman"/>
                <w:b w:val="0"/>
                <w:bCs/>
                <w:kern w:val="0"/>
                <w:sz w:val="21"/>
                <w:szCs w:val="21"/>
                <w:lang w:bidi="ar"/>
              </w:rPr>
              <w:t>夜间</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46 </w:t>
            </w:r>
          </w:p>
        </w:tc>
        <w:tc>
          <w:tcPr>
            <w:tcW w:w="122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6 </w:t>
            </w:r>
          </w:p>
        </w:tc>
        <w:tc>
          <w:tcPr>
            <w:tcW w:w="125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8 </w:t>
            </w:r>
          </w:p>
        </w:tc>
      </w:tr>
    </w:tbl>
    <w:p>
      <w:pPr>
        <w:spacing w:line="360" w:lineRule="auto"/>
        <w:ind w:firstLine="420" w:firstLineChars="200"/>
        <w:rPr>
          <w:rFonts w:hint="default" w:ascii="Times New Roman" w:hAnsi="Times New Roman" w:cs="Times New Roman"/>
          <w:b w:val="0"/>
          <w:bCs/>
          <w:sz w:val="21"/>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预测车速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根据项目设计，本项目控制车速为60km/h；评价采用《环境影响评价技术导则声环境》（HJ 2.4-2009）中推荐的相关模式进行评价。</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各类型车的车速预测采用如下计算公式：</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Vi=Qvi</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790700" cy="428625"/>
            <wp:effectExtent l="0" t="0" r="0" b="8255"/>
            <wp:docPr id="24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71"/>
                    <pic:cNvPicPr>
                      <a:picLocks noChangeAspect="1"/>
                    </pic:cNvPicPr>
                  </pic:nvPicPr>
                  <pic:blipFill>
                    <a:blip r:embed="rId96"/>
                    <a:stretch>
                      <a:fillRect/>
                    </a:stretch>
                  </pic:blipFill>
                  <pic:spPr>
                    <a:xfrm>
                      <a:off x="0" y="0"/>
                      <a:ext cx="1790700" cy="42862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drawing>
          <wp:inline distT="0" distB="0" distL="114300" distR="114300">
            <wp:extent cx="1924050" cy="266700"/>
            <wp:effectExtent l="0" t="0" r="0" b="0"/>
            <wp:docPr id="24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72"/>
                    <pic:cNvPicPr>
                      <a:picLocks noChangeAspect="1"/>
                    </pic:cNvPicPr>
                  </pic:nvPicPr>
                  <pic:blipFill>
                    <a:blip r:embed="rId97"/>
                    <a:stretch>
                      <a:fillRect/>
                    </a:stretch>
                  </pic:blipFill>
                  <pic:spPr>
                    <a:xfrm>
                      <a:off x="0" y="0"/>
                      <a:ext cx="1924050" cy="26670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式中：Vi—第i种车型车辆的预测车速，km/h；当设计车速小于120km/h时，该型车预测车速按比例降低，Q为车速修正因子。道路设计车速为60km/h，故Q=60/120；</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Ui—该车型的当量车数；</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ηi—该车型的车型比；</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vol—单车道车流量，辆/h；</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mi—其他两种车型的加权系数。</w:t>
      </w:r>
    </w:p>
    <w:p>
      <w:pPr>
        <w:autoSpaceDE w:val="0"/>
        <w:autoSpaceDN w:val="0"/>
        <w:adjustRightInd w:val="0"/>
        <w:snapToGrid w:val="0"/>
        <w:spacing w:line="360" w:lineRule="auto"/>
        <w:ind w:firstLine="480" w:firstLineChars="200"/>
        <w:rPr>
          <w:rFonts w:hint="default" w:ascii="Times New Roman" w:hAnsi="Times New Roman" w:cs="Times New Roman"/>
          <w:b w:val="0"/>
          <w:bCs/>
          <w:sz w:val="21"/>
          <w:szCs w:val="21"/>
        </w:rPr>
      </w:pPr>
      <w:r>
        <w:rPr>
          <w:rFonts w:hint="default" w:ascii="Times New Roman" w:hAnsi="Times New Roman" w:eastAsia="宋体" w:cs="Times New Roman"/>
          <w:b w:val="0"/>
          <w:bCs w:val="0"/>
          <w:sz w:val="24"/>
          <w:szCs w:val="24"/>
          <w:lang w:val="en-US" w:eastAsia="zh-CN" w:bidi="zh-CN"/>
        </w:rPr>
        <w:t>k1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k2</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k3</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k4分别为系数，如下表所示。</w:t>
      </w:r>
    </w:p>
    <w:p>
      <w:pPr>
        <w:numPr>
          <w:ilvl w:val="0"/>
          <w:numId w:val="0"/>
        </w:numPr>
        <w:tabs>
          <w:tab w:val="left" w:pos="0"/>
        </w:tabs>
        <w:autoSpaceDE w:val="0"/>
        <w:autoSpaceDN w:val="0"/>
        <w:adjustRightInd w:val="0"/>
        <w:ind w:leftChars="0" w:right="0" w:righ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 xml:space="preserve">表4.4-14 </w:t>
      </w:r>
      <w:r>
        <w:rPr>
          <w:rFonts w:hint="default" w:ascii="Times New Roman" w:hAnsi="Times New Roman" w:eastAsia="宋体" w:cs="Times New Roman"/>
          <w:b/>
          <w:bCs w:val="0"/>
          <w:kern w:val="0"/>
          <w:sz w:val="21"/>
          <w:szCs w:val="21"/>
        </w:rPr>
        <w:t>车速计算公式系数</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18"/>
        <w:gridCol w:w="1659"/>
        <w:gridCol w:w="1241"/>
        <w:gridCol w:w="2128"/>
        <w:gridCol w:w="1502"/>
        <w:gridCol w:w="13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9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车型</w:t>
            </w:r>
          </w:p>
        </w:tc>
        <w:tc>
          <w:tcPr>
            <w:tcW w:w="164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k1</w:t>
            </w:r>
          </w:p>
        </w:tc>
        <w:tc>
          <w:tcPr>
            <w:tcW w:w="121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k2</w:t>
            </w:r>
          </w:p>
        </w:tc>
        <w:tc>
          <w:tcPr>
            <w:tcW w:w="2131"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k3</w:t>
            </w:r>
          </w:p>
        </w:tc>
        <w:tc>
          <w:tcPr>
            <w:tcW w:w="148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k4</w:t>
            </w:r>
          </w:p>
        </w:tc>
        <w:tc>
          <w:tcPr>
            <w:tcW w:w="1373"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mi</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9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小型车</w:t>
            </w:r>
          </w:p>
        </w:tc>
        <w:tc>
          <w:tcPr>
            <w:tcW w:w="164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-0.061748</w:t>
            </w:r>
          </w:p>
        </w:tc>
        <w:tc>
          <w:tcPr>
            <w:tcW w:w="121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149.65</w:t>
            </w:r>
          </w:p>
        </w:tc>
        <w:tc>
          <w:tcPr>
            <w:tcW w:w="2131"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-0.000023696</w:t>
            </w:r>
          </w:p>
        </w:tc>
        <w:tc>
          <w:tcPr>
            <w:tcW w:w="148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-0.02099</w:t>
            </w:r>
          </w:p>
        </w:tc>
        <w:tc>
          <w:tcPr>
            <w:tcW w:w="1373"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1.2102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9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中型车</w:t>
            </w:r>
          </w:p>
        </w:tc>
        <w:tc>
          <w:tcPr>
            <w:tcW w:w="164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-0.057535</w:t>
            </w:r>
          </w:p>
        </w:tc>
        <w:tc>
          <w:tcPr>
            <w:tcW w:w="121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149.38</w:t>
            </w:r>
          </w:p>
        </w:tc>
        <w:tc>
          <w:tcPr>
            <w:tcW w:w="2131"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-0.000016390</w:t>
            </w:r>
          </w:p>
        </w:tc>
        <w:tc>
          <w:tcPr>
            <w:tcW w:w="148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-0.01245</w:t>
            </w:r>
          </w:p>
        </w:tc>
        <w:tc>
          <w:tcPr>
            <w:tcW w:w="1373"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0.8044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9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大型车</w:t>
            </w:r>
          </w:p>
        </w:tc>
        <w:tc>
          <w:tcPr>
            <w:tcW w:w="164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-0.051900</w:t>
            </w:r>
          </w:p>
        </w:tc>
        <w:tc>
          <w:tcPr>
            <w:tcW w:w="1218"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149.39</w:t>
            </w:r>
          </w:p>
        </w:tc>
        <w:tc>
          <w:tcPr>
            <w:tcW w:w="2131"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-0.00001402</w:t>
            </w:r>
          </w:p>
        </w:tc>
        <w:tc>
          <w:tcPr>
            <w:tcW w:w="1487"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-0.01254</w:t>
            </w:r>
          </w:p>
        </w:tc>
        <w:tc>
          <w:tcPr>
            <w:tcW w:w="1373" w:type="dxa"/>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0.70957</w:t>
            </w:r>
          </w:p>
        </w:tc>
      </w:tr>
    </w:tbl>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经计算，营运期各预测年各车型昼</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夜间平均行驶速度见下表。</w:t>
      </w:r>
    </w:p>
    <w:p>
      <w:pPr>
        <w:numPr>
          <w:ilvl w:val="0"/>
          <w:numId w:val="0"/>
        </w:numPr>
        <w:tabs>
          <w:tab w:val="left" w:pos="0"/>
        </w:tabs>
        <w:autoSpaceDE w:val="0"/>
        <w:autoSpaceDN w:val="0"/>
        <w:adjustRightInd w:val="0"/>
        <w:ind w:leftChars="0" w:right="0" w:rightChars="0"/>
        <w:jc w:val="right"/>
        <w:rPr>
          <w:rFonts w:hint="default" w:ascii="Times New Roman" w:hAnsi="Times New Roman" w:eastAsia="宋体" w:cs="Times New Roman"/>
          <w:b/>
          <w:bCs w:val="0"/>
          <w:color w:val="auto"/>
          <w:kern w:val="0"/>
          <w:sz w:val="21"/>
          <w:szCs w:val="21"/>
        </w:rPr>
      </w:pPr>
      <w:r>
        <w:rPr>
          <w:rFonts w:hint="eastAsia" w:ascii="Times New Roman" w:hAnsi="Times New Roman" w:cs="Times New Roman"/>
          <w:b/>
          <w:bCs w:val="0"/>
          <w:kern w:val="0"/>
          <w:sz w:val="21"/>
          <w:szCs w:val="21"/>
          <w:lang w:val="en-US" w:eastAsia="zh-CN"/>
        </w:rPr>
        <w:t xml:space="preserve">表4.4-15 </w:t>
      </w:r>
      <w:r>
        <w:rPr>
          <w:rFonts w:hint="default" w:ascii="Times New Roman" w:hAnsi="Times New Roman" w:eastAsia="宋体" w:cs="Times New Roman"/>
          <w:b/>
          <w:bCs w:val="0"/>
          <w:color w:val="auto"/>
          <w:kern w:val="0"/>
          <w:sz w:val="21"/>
          <w:szCs w:val="21"/>
        </w:rPr>
        <w:t>营运期各预测年车辆昼</w:t>
      </w:r>
      <w:r>
        <w:rPr>
          <w:rFonts w:hint="eastAsia" w:ascii="Times New Roman" w:hAnsi="Times New Roman" w:cs="Times New Roman"/>
          <w:b/>
          <w:bCs w:val="0"/>
          <w:color w:val="auto"/>
          <w:kern w:val="0"/>
          <w:sz w:val="21"/>
          <w:szCs w:val="21"/>
          <w:lang w:eastAsia="zh-CN"/>
        </w:rPr>
        <w:t>、</w:t>
      </w:r>
      <w:r>
        <w:rPr>
          <w:rFonts w:hint="default" w:ascii="Times New Roman" w:hAnsi="Times New Roman" w:eastAsia="宋体" w:cs="Times New Roman"/>
          <w:b/>
          <w:bCs w:val="0"/>
          <w:color w:val="auto"/>
          <w:kern w:val="0"/>
          <w:sz w:val="21"/>
          <w:szCs w:val="21"/>
        </w:rPr>
        <w:t>夜间平均行驶速度    单位：km/h</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92"/>
        <w:gridCol w:w="1196"/>
        <w:gridCol w:w="1101"/>
        <w:gridCol w:w="1120"/>
        <w:gridCol w:w="222"/>
        <w:gridCol w:w="1100"/>
        <w:gridCol w:w="1105"/>
        <w:gridCol w:w="1111"/>
        <w:gridCol w:w="548"/>
        <w:gridCol w:w="5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restart"/>
            <w:tcBorders>
              <w:tl2br w:val="nil"/>
              <w:tr2bl w:val="nil"/>
            </w:tcBorders>
            <w:noWrap w:val="0"/>
            <w:vAlign w:val="center"/>
          </w:tcPr>
          <w:p>
            <w:pPr>
              <w:widowControl/>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工程</w:t>
            </w:r>
          </w:p>
        </w:tc>
        <w:tc>
          <w:tcPr>
            <w:tcW w:w="659" w:type="pct"/>
            <w:vMerge w:val="restart"/>
            <w:tcBorders>
              <w:tl2br w:val="nil"/>
              <w:tr2bl w:val="nil"/>
            </w:tcBorders>
            <w:noWrap w:val="0"/>
            <w:vAlign w:val="center"/>
          </w:tcPr>
          <w:p>
            <w:pPr>
              <w:widowControl/>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特征年</w:t>
            </w:r>
          </w:p>
        </w:tc>
        <w:tc>
          <w:tcPr>
            <w:tcW w:w="3682" w:type="pct"/>
            <w:gridSpan w:val="8"/>
            <w:tcBorders>
              <w:tl2br w:val="nil"/>
              <w:tr2bl w:val="nil"/>
            </w:tcBorders>
            <w:noWrap w:val="0"/>
            <w:vAlign w:val="center"/>
          </w:tcPr>
          <w:p>
            <w:pPr>
              <w:widowControl/>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车型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 w:hRule="atLeast"/>
          <w:jc w:val="center"/>
        </w:trPr>
        <w:tc>
          <w:tcPr>
            <w:tcW w:w="657" w:type="pct"/>
            <w:vMerge w:val="continue"/>
            <w:tcBorders>
              <w:tl2br w:val="nil"/>
              <w:tr2bl w:val="nil"/>
            </w:tcBorders>
            <w:noWrap w:val="0"/>
            <w:vAlign w:val="center"/>
          </w:tcPr>
          <w:p>
            <w:pPr>
              <w:widowControl/>
              <w:jc w:val="left"/>
              <w:rPr>
                <w:rFonts w:hint="default" w:ascii="Times New Roman" w:hAnsi="Times New Roman" w:cs="Times New Roman"/>
                <w:b w:val="0"/>
                <w:bCs/>
                <w:color w:val="auto"/>
                <w:kern w:val="0"/>
                <w:sz w:val="21"/>
                <w:szCs w:val="21"/>
              </w:rPr>
            </w:pPr>
          </w:p>
        </w:tc>
        <w:tc>
          <w:tcPr>
            <w:tcW w:w="659" w:type="pct"/>
            <w:vMerge w:val="continue"/>
            <w:tcBorders>
              <w:tl2br w:val="nil"/>
              <w:tr2bl w:val="nil"/>
            </w:tcBorders>
            <w:noWrap w:val="0"/>
            <w:vAlign w:val="center"/>
          </w:tcPr>
          <w:p>
            <w:pPr>
              <w:widowControl/>
              <w:jc w:val="left"/>
              <w:rPr>
                <w:rFonts w:hint="default" w:ascii="Times New Roman" w:hAnsi="Times New Roman" w:cs="Times New Roman"/>
                <w:b w:val="0"/>
                <w:bCs/>
                <w:color w:val="auto"/>
                <w:kern w:val="0"/>
                <w:sz w:val="21"/>
                <w:szCs w:val="21"/>
              </w:rPr>
            </w:pPr>
          </w:p>
        </w:tc>
        <w:tc>
          <w:tcPr>
            <w:tcW w:w="1226" w:type="pct"/>
            <w:gridSpan w:val="2"/>
            <w:tcBorders>
              <w:tl2br w:val="nil"/>
              <w:tr2bl w:val="nil"/>
            </w:tcBorders>
            <w:noWrap w:val="0"/>
            <w:vAlign w:val="center"/>
          </w:tcPr>
          <w:p>
            <w:pPr>
              <w:widowControl/>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小型车</w:t>
            </w:r>
          </w:p>
        </w:tc>
        <w:tc>
          <w:tcPr>
            <w:tcW w:w="1225" w:type="pct"/>
            <w:gridSpan w:val="3"/>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中型车</w:t>
            </w:r>
          </w:p>
        </w:tc>
        <w:tc>
          <w:tcPr>
            <w:tcW w:w="1229" w:type="pct"/>
            <w:gridSpan w:val="3"/>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大型车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 w:hRule="atLeast"/>
          <w:jc w:val="center"/>
        </w:trPr>
        <w:tc>
          <w:tcPr>
            <w:tcW w:w="657"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rPr>
            </w:pPr>
          </w:p>
        </w:tc>
        <w:tc>
          <w:tcPr>
            <w:tcW w:w="65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rPr>
            </w:pPr>
          </w:p>
        </w:tc>
        <w:tc>
          <w:tcPr>
            <w:tcW w:w="608" w:type="pct"/>
            <w:tcBorders>
              <w:tl2br w:val="nil"/>
              <w:tr2bl w:val="nil"/>
            </w:tcBorders>
            <w:noWrap w:val="0"/>
            <w:vAlign w:val="center"/>
          </w:tcPr>
          <w:p>
            <w:pPr>
              <w:widowControl/>
              <w:jc w:val="center"/>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kern w:val="0"/>
                <w:sz w:val="21"/>
                <w:szCs w:val="21"/>
              </w:rPr>
              <w:t>昼</w:t>
            </w:r>
          </w:p>
        </w:tc>
        <w:tc>
          <w:tcPr>
            <w:tcW w:w="618" w:type="pct"/>
            <w:tcBorders>
              <w:tl2br w:val="nil"/>
              <w:tr2bl w:val="nil"/>
            </w:tcBorders>
            <w:noWrap w:val="0"/>
            <w:vAlign w:val="center"/>
          </w:tcPr>
          <w:p>
            <w:pPr>
              <w:widowControl/>
              <w:jc w:val="center"/>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kern w:val="0"/>
                <w:sz w:val="21"/>
                <w:szCs w:val="21"/>
              </w:rPr>
              <w:t>夜</w:t>
            </w:r>
          </w:p>
        </w:tc>
        <w:tc>
          <w:tcPr>
            <w:tcW w:w="8" w:type="pc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w:t>
            </w:r>
          </w:p>
        </w:tc>
        <w:tc>
          <w:tcPr>
            <w:tcW w:w="1053" w:type="dxa"/>
            <w:tcBorders>
              <w:tl2br w:val="nil"/>
              <w:tr2bl w:val="nil"/>
            </w:tcBorders>
            <w:noWrap w:val="0"/>
            <w:vAlign w:val="center"/>
          </w:tcPr>
          <w:p>
            <w:pPr>
              <w:widowControl/>
              <w:ind w:left="0" w:leftChars="0" w:right="0" w:right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w:t>
            </w:r>
          </w:p>
        </w:tc>
        <w:tc>
          <w:tcPr>
            <w:tcW w:w="1053" w:type="dxa"/>
            <w:gridSpan w:val="2"/>
            <w:tcBorders>
              <w:tl2br w:val="nil"/>
              <w:tr2bl w:val="nil"/>
            </w:tcBorders>
            <w:noWrap w:val="0"/>
            <w:vAlign w:val="center"/>
          </w:tcPr>
          <w:p>
            <w:pPr>
              <w:widowControl/>
              <w:ind w:left="0" w:leftChars="0" w:right="0" w:right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w:t>
            </w:r>
          </w:p>
        </w:tc>
        <w:tc>
          <w:tcPr>
            <w:tcW w:w="1053" w:type="dxa"/>
            <w:tcBorders>
              <w:tl2br w:val="nil"/>
              <w:tr2bl w:val="nil"/>
            </w:tcBorders>
            <w:noWrap w:val="0"/>
            <w:vAlign w:val="center"/>
          </w:tcPr>
          <w:p>
            <w:pPr>
              <w:widowControl/>
              <w:ind w:left="0" w:leftChars="0" w:right="0" w:right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w:t>
            </w:r>
          </w:p>
        </w:tc>
        <w:tc>
          <w:tcPr>
            <w:tcW w:w="1056" w:type="dxa"/>
            <w:tcBorders>
              <w:tl2br w:val="nil"/>
              <w:tr2bl w:val="nil"/>
            </w:tcBorders>
            <w:noWrap w:val="0"/>
            <w:vAlign w:val="center"/>
          </w:tcPr>
          <w:p>
            <w:pPr>
              <w:widowControl/>
              <w:ind w:left="0" w:leftChars="0" w:right="0" w:right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restart"/>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本项目</w:t>
            </w:r>
          </w:p>
        </w:tc>
        <w:tc>
          <w:tcPr>
            <w:tcW w:w="659" w:type="pct"/>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2025年</w:t>
            </w:r>
          </w:p>
        </w:tc>
        <w:tc>
          <w:tcPr>
            <w:tcW w:w="6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z w:val="21"/>
                <w:szCs w:val="21"/>
                <w:lang w:val="en-US"/>
              </w:rPr>
            </w:pPr>
            <w:r>
              <w:rPr>
                <w:rFonts w:hint="default" w:ascii="Times New Roman" w:hAnsi="Times New Roman" w:eastAsia="宋体" w:cs="Times New Roman"/>
                <w:b w:val="0"/>
                <w:bCs/>
                <w:i w:val="0"/>
                <w:color w:val="000000"/>
                <w:kern w:val="0"/>
                <w:sz w:val="21"/>
                <w:szCs w:val="21"/>
                <w:u w:val="none"/>
                <w:lang w:val="en-US" w:eastAsia="zh-CN" w:bidi="ar"/>
              </w:rPr>
              <w:t>50.41</w:t>
            </w:r>
          </w:p>
        </w:tc>
        <w:tc>
          <w:tcPr>
            <w:tcW w:w="62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50.96</w:t>
            </w:r>
          </w:p>
        </w:tc>
        <w:tc>
          <w:tcPr>
            <w:tcW w:w="6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z w:val="21"/>
                <w:szCs w:val="21"/>
                <w:lang w:val="en-US"/>
              </w:rPr>
            </w:pPr>
            <w:r>
              <w:rPr>
                <w:rFonts w:hint="default" w:ascii="Times New Roman" w:hAnsi="Times New Roman" w:eastAsia="宋体" w:cs="Times New Roman"/>
                <w:b w:val="0"/>
                <w:bCs/>
                <w:i w:val="0"/>
                <w:color w:val="000000"/>
                <w:kern w:val="0"/>
                <w:sz w:val="21"/>
                <w:szCs w:val="21"/>
                <w:u w:val="none"/>
                <w:lang w:val="en-US" w:eastAsia="zh-CN" w:bidi="ar"/>
              </w:rPr>
              <w:t>35.93</w:t>
            </w:r>
          </w:p>
        </w:tc>
        <w:tc>
          <w:tcPr>
            <w:tcW w:w="61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34.74</w:t>
            </w:r>
          </w:p>
        </w:tc>
        <w:tc>
          <w:tcPr>
            <w:tcW w:w="6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z w:val="21"/>
                <w:szCs w:val="21"/>
                <w:lang w:val="en-US"/>
              </w:rPr>
            </w:pPr>
            <w:r>
              <w:rPr>
                <w:rFonts w:hint="default" w:ascii="Times New Roman" w:hAnsi="Times New Roman" w:eastAsia="宋体" w:cs="Times New Roman"/>
                <w:b w:val="0"/>
                <w:bCs/>
                <w:i w:val="0"/>
                <w:color w:val="000000"/>
                <w:kern w:val="0"/>
                <w:sz w:val="21"/>
                <w:szCs w:val="21"/>
                <w:u w:val="none"/>
                <w:lang w:val="en-US" w:eastAsia="zh-CN" w:bidi="ar"/>
              </w:rPr>
              <w:t>35.87</w:t>
            </w:r>
          </w:p>
        </w:tc>
        <w:tc>
          <w:tcPr>
            <w:tcW w:w="61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34.97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continue"/>
            <w:tcBorders>
              <w:tl2br w:val="nil"/>
              <w:tr2bl w:val="nil"/>
            </w:tcBorders>
            <w:noWrap w:val="0"/>
            <w:vAlign w:val="center"/>
          </w:tcPr>
          <w:p>
            <w:pPr>
              <w:widowControl/>
              <w:jc w:val="center"/>
              <w:rPr>
                <w:rFonts w:hint="default" w:ascii="Times New Roman" w:hAnsi="Times New Roman" w:cs="Times New Roman"/>
                <w:b w:val="0"/>
                <w:bCs/>
                <w:kern w:val="0"/>
                <w:sz w:val="21"/>
                <w:szCs w:val="21"/>
              </w:rPr>
            </w:pPr>
          </w:p>
        </w:tc>
        <w:tc>
          <w:tcPr>
            <w:tcW w:w="659" w:type="pct"/>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2031年</w:t>
            </w:r>
          </w:p>
        </w:tc>
        <w:tc>
          <w:tcPr>
            <w:tcW w:w="6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z w:val="21"/>
                <w:szCs w:val="21"/>
                <w:lang w:val="en-US"/>
              </w:rPr>
            </w:pPr>
            <w:r>
              <w:rPr>
                <w:rFonts w:hint="default" w:ascii="Times New Roman" w:hAnsi="Times New Roman" w:eastAsia="宋体" w:cs="Times New Roman"/>
                <w:b w:val="0"/>
                <w:bCs/>
                <w:sz w:val="21"/>
                <w:szCs w:val="21"/>
                <w:lang w:val="en-US" w:eastAsia="zh-CN"/>
              </w:rPr>
              <w:t>50.25</w:t>
            </w:r>
          </w:p>
        </w:tc>
        <w:tc>
          <w:tcPr>
            <w:tcW w:w="62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50.94</w:t>
            </w:r>
          </w:p>
        </w:tc>
        <w:tc>
          <w:tcPr>
            <w:tcW w:w="6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z w:val="21"/>
                <w:szCs w:val="21"/>
                <w:lang w:val="en-US"/>
              </w:rPr>
            </w:pPr>
            <w:r>
              <w:rPr>
                <w:rFonts w:hint="default" w:ascii="Times New Roman" w:hAnsi="Times New Roman" w:eastAsia="宋体" w:cs="Times New Roman"/>
                <w:b w:val="0"/>
                <w:bCs/>
                <w:sz w:val="21"/>
                <w:szCs w:val="21"/>
                <w:lang w:val="en-US" w:eastAsia="zh-CN"/>
              </w:rPr>
              <w:t>36.13</w:t>
            </w:r>
          </w:p>
        </w:tc>
        <w:tc>
          <w:tcPr>
            <w:tcW w:w="61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34.78</w:t>
            </w:r>
          </w:p>
        </w:tc>
        <w:tc>
          <w:tcPr>
            <w:tcW w:w="6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z w:val="21"/>
                <w:szCs w:val="21"/>
                <w:lang w:val="en-US"/>
              </w:rPr>
            </w:pPr>
            <w:r>
              <w:rPr>
                <w:rFonts w:hint="default" w:ascii="Times New Roman" w:hAnsi="Times New Roman" w:eastAsia="宋体" w:cs="Times New Roman"/>
                <w:b w:val="0"/>
                <w:bCs/>
                <w:sz w:val="21"/>
                <w:szCs w:val="21"/>
                <w:lang w:val="en-US" w:eastAsia="zh-CN"/>
              </w:rPr>
              <w:t>36.04</w:t>
            </w:r>
          </w:p>
        </w:tc>
        <w:tc>
          <w:tcPr>
            <w:tcW w:w="61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continue"/>
            <w:tcBorders>
              <w:tl2br w:val="nil"/>
              <w:tr2bl w:val="nil"/>
            </w:tcBorders>
            <w:noWrap w:val="0"/>
            <w:vAlign w:val="center"/>
          </w:tcPr>
          <w:p>
            <w:pPr>
              <w:widowControl/>
              <w:jc w:val="center"/>
              <w:rPr>
                <w:rFonts w:hint="default" w:ascii="Times New Roman" w:hAnsi="Times New Roman" w:cs="Times New Roman"/>
                <w:b w:val="0"/>
                <w:bCs/>
                <w:kern w:val="0"/>
                <w:sz w:val="21"/>
                <w:szCs w:val="21"/>
              </w:rPr>
            </w:pPr>
          </w:p>
        </w:tc>
        <w:tc>
          <w:tcPr>
            <w:tcW w:w="659" w:type="pct"/>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2039年</w:t>
            </w:r>
          </w:p>
        </w:tc>
        <w:tc>
          <w:tcPr>
            <w:tcW w:w="60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z w:val="21"/>
                <w:szCs w:val="21"/>
                <w:lang w:val="en-US"/>
              </w:rPr>
            </w:pPr>
            <w:r>
              <w:rPr>
                <w:rFonts w:hint="default" w:ascii="Times New Roman" w:hAnsi="Times New Roman" w:eastAsia="宋体" w:cs="Times New Roman"/>
                <w:b w:val="0"/>
                <w:bCs/>
                <w:sz w:val="21"/>
                <w:szCs w:val="21"/>
                <w:lang w:val="en-US" w:eastAsia="zh-CN"/>
              </w:rPr>
              <w:t>50.08</w:t>
            </w:r>
          </w:p>
        </w:tc>
        <w:tc>
          <w:tcPr>
            <w:tcW w:w="62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50.93</w:t>
            </w:r>
          </w:p>
        </w:tc>
        <w:tc>
          <w:tcPr>
            <w:tcW w:w="6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z w:val="21"/>
                <w:szCs w:val="21"/>
                <w:lang w:val="en-US"/>
              </w:rPr>
            </w:pPr>
            <w:r>
              <w:rPr>
                <w:rFonts w:hint="default" w:ascii="Times New Roman" w:hAnsi="Times New Roman" w:eastAsia="宋体" w:cs="Times New Roman"/>
                <w:b w:val="0"/>
                <w:bCs/>
                <w:sz w:val="21"/>
                <w:szCs w:val="21"/>
                <w:lang w:val="en-US" w:eastAsia="zh-CN"/>
              </w:rPr>
              <w:t>36.31</w:t>
            </w:r>
          </w:p>
        </w:tc>
        <w:tc>
          <w:tcPr>
            <w:tcW w:w="61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34.82</w:t>
            </w:r>
          </w:p>
        </w:tc>
        <w:tc>
          <w:tcPr>
            <w:tcW w:w="6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sz w:val="21"/>
                <w:szCs w:val="21"/>
                <w:lang w:val="en-US"/>
              </w:rPr>
            </w:pPr>
            <w:r>
              <w:rPr>
                <w:rFonts w:hint="default" w:ascii="Times New Roman" w:hAnsi="Times New Roman" w:eastAsia="宋体" w:cs="Times New Roman"/>
                <w:b w:val="0"/>
                <w:bCs/>
                <w:sz w:val="21"/>
                <w:szCs w:val="21"/>
                <w:lang w:val="en-US" w:eastAsia="zh-CN"/>
              </w:rPr>
              <w:t>36.18</w:t>
            </w:r>
          </w:p>
        </w:tc>
        <w:tc>
          <w:tcPr>
            <w:tcW w:w="61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35.03</w:t>
            </w:r>
          </w:p>
        </w:tc>
      </w:tr>
    </w:tbl>
    <w:p>
      <w:pPr>
        <w:spacing w:line="360" w:lineRule="auto"/>
        <w:ind w:firstLine="420" w:firstLineChars="200"/>
        <w:rPr>
          <w:rFonts w:hint="default" w:ascii="Times New Roman" w:hAnsi="Times New Roman" w:cs="Times New Roman"/>
          <w:b w:val="0"/>
          <w:bCs/>
          <w:sz w:val="21"/>
          <w:szCs w:val="21"/>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各类型车辆的评价辐射声级</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第i种车型在参照点（7.5m处）的平均辐射噪声级（dB）LOi按下式计算：</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小型车：LOS=12.6+34.73log（VS）+</w:t>
      </w:r>
      <w:r>
        <w:rPr>
          <w:rFonts w:hint="default" w:ascii="Times New Roman" w:hAnsi="Times New Roman" w:eastAsia="宋体" w:cs="Times New Roman"/>
          <w:b w:val="0"/>
          <w:bCs w:val="0"/>
          <w:sz w:val="24"/>
          <w:szCs w:val="24"/>
          <w:lang w:val="de-DE" w:eastAsia="zh-CN" w:bidi="zh-CN"/>
        </w:rPr>
        <w:t>△L路面</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中型车：LOm=18.8+40.48log（VM）+</w:t>
      </w:r>
      <w:r>
        <w:rPr>
          <w:rFonts w:hint="default" w:ascii="Times New Roman" w:hAnsi="Times New Roman" w:eastAsia="宋体" w:cs="Times New Roman"/>
          <w:b w:val="0"/>
          <w:bCs w:val="0"/>
          <w:sz w:val="24"/>
          <w:szCs w:val="24"/>
          <w:lang w:val="de-DE" w:eastAsia="zh-CN" w:bidi="zh-CN"/>
        </w:rPr>
        <w:t>△L纵坡</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大型车：LOL=22.0+36.32log（VL）+</w:t>
      </w:r>
      <w:r>
        <w:rPr>
          <w:rFonts w:hint="default" w:ascii="Times New Roman" w:hAnsi="Times New Roman" w:eastAsia="宋体" w:cs="Times New Roman"/>
          <w:b w:val="0"/>
          <w:bCs w:val="0"/>
          <w:sz w:val="24"/>
          <w:szCs w:val="24"/>
          <w:lang w:val="de-DE" w:eastAsia="zh-CN" w:bidi="zh-CN"/>
        </w:rPr>
        <w:t>△L纵坡</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式中：右下角注S</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M</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L——分别表示小</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大型车；</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Vi——该车型车辆的平均行驶速度，km/h。</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道路纵坡引起的交通噪声源强修正量纵坡L取值如下表。</w:t>
      </w:r>
    </w:p>
    <w:p>
      <w:pPr>
        <w:numPr>
          <w:ilvl w:val="0"/>
          <w:numId w:val="0"/>
        </w:numPr>
        <w:tabs>
          <w:tab w:val="left" w:pos="0"/>
        </w:tabs>
        <w:autoSpaceDE w:val="0"/>
        <w:autoSpaceDN w:val="0"/>
        <w:adjustRightInd w:val="0"/>
        <w:ind w:lef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表4.4-16</w:t>
      </w:r>
      <w:r>
        <w:rPr>
          <w:rFonts w:hint="default" w:ascii="Times New Roman" w:hAnsi="Times New Roman" w:eastAsia="宋体" w:cs="Times New Roman"/>
          <w:b/>
          <w:bCs w:val="0"/>
          <w:kern w:val="0"/>
          <w:sz w:val="21"/>
          <w:szCs w:val="21"/>
          <w:lang w:val="en-US" w:eastAsia="zh-CN"/>
        </w:rPr>
        <w:t xml:space="preserve"> </w:t>
      </w:r>
      <w:r>
        <w:rPr>
          <w:rFonts w:hint="default" w:ascii="Times New Roman" w:hAnsi="Times New Roman" w:eastAsia="宋体" w:cs="Times New Roman"/>
          <w:b/>
          <w:bCs w:val="0"/>
          <w:kern w:val="0"/>
          <w:sz w:val="21"/>
          <w:szCs w:val="21"/>
        </w:rPr>
        <w:t>路面纵坡噪声级修正值</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967"/>
        <w:gridCol w:w="62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85"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纵坡（%）</w:t>
            </w:r>
          </w:p>
        </w:tc>
        <w:tc>
          <w:tcPr>
            <w:tcW w:w="5936"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噪声级修正值（dB（A））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85"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w:t>
            </w:r>
          </w:p>
        </w:tc>
        <w:tc>
          <w:tcPr>
            <w:tcW w:w="5936"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85"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4-5</w:t>
            </w:r>
          </w:p>
        </w:tc>
        <w:tc>
          <w:tcPr>
            <w:tcW w:w="5936"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85"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6-7</w:t>
            </w:r>
          </w:p>
        </w:tc>
        <w:tc>
          <w:tcPr>
            <w:tcW w:w="5936"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85"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w:t>
            </w:r>
          </w:p>
        </w:tc>
        <w:tc>
          <w:tcPr>
            <w:tcW w:w="5936" w:type="dxa"/>
            <w:tcBorders>
              <w:tl2br w:val="nil"/>
              <w:tr2bl w:val="nil"/>
            </w:tcBorders>
            <w:noWrap w:val="0"/>
            <w:vAlign w:val="center"/>
          </w:tcPr>
          <w:p>
            <w:pPr>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w:t>
            </w:r>
          </w:p>
        </w:tc>
      </w:tr>
    </w:tbl>
    <w:p>
      <w:pPr>
        <w:adjustRightInd w:val="0"/>
        <w:ind w:firstLine="0" w:firstLineChars="0"/>
        <w:rPr>
          <w:rFonts w:hint="default" w:ascii="Times New Roman" w:hAnsi="Times New Roman" w:cs="Times New Roman"/>
          <w:b w:val="0"/>
          <w:bCs/>
          <w:sz w:val="21"/>
          <w:szCs w:val="21"/>
        </w:rPr>
      </w:pPr>
      <w:r>
        <w:rPr>
          <w:rFonts w:hint="default" w:ascii="Times New Roman" w:hAnsi="Times New Roman" w:cs="Times New Roman"/>
          <w:b w:val="0"/>
          <w:bCs/>
          <w:sz w:val="21"/>
          <w:szCs w:val="21"/>
        </w:rPr>
        <w:t>注：本表仅对大型车和中型车修正，小型车不作修正</w:t>
      </w:r>
    </w:p>
    <w:p>
      <w:pPr>
        <w:adjustRightInd w:val="0"/>
        <w:spacing w:line="360" w:lineRule="auto"/>
        <w:ind w:firstLine="420" w:firstLineChars="200"/>
        <w:rPr>
          <w:rFonts w:hint="default" w:ascii="Times New Roman" w:hAnsi="Times New Roman" w:cs="Times New Roman"/>
          <w:b w:val="0"/>
          <w:bCs/>
          <w:sz w:val="21"/>
          <w:szCs w:val="21"/>
        </w:rPr>
      </w:pPr>
      <w:r>
        <w:rPr>
          <w:rFonts w:hint="default" w:ascii="Times New Roman" w:hAnsi="Times New Roman" w:cs="Times New Roman"/>
          <w:b w:val="0"/>
          <w:bCs/>
          <w:sz w:val="21"/>
          <w:szCs w:val="21"/>
        </w:rPr>
        <w:t>道路路面引起的交通噪声源强修正量△L路面取值如下表。</w:t>
      </w:r>
    </w:p>
    <w:p>
      <w:pPr>
        <w:numPr>
          <w:ilvl w:val="0"/>
          <w:numId w:val="0"/>
        </w:numPr>
        <w:tabs>
          <w:tab w:val="left" w:pos="0"/>
        </w:tabs>
        <w:autoSpaceDE w:val="0"/>
        <w:autoSpaceDN w:val="0"/>
        <w:adjustRightInd w:val="0"/>
        <w:ind w:lef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表4.4-17</w:t>
      </w:r>
      <w:r>
        <w:rPr>
          <w:rFonts w:hint="default" w:ascii="Times New Roman" w:hAnsi="Times New Roman" w:eastAsia="宋体" w:cs="Times New Roman"/>
          <w:b/>
          <w:bCs w:val="0"/>
          <w:kern w:val="0"/>
          <w:sz w:val="21"/>
          <w:szCs w:val="21"/>
          <w:lang w:val="en-US" w:eastAsia="zh-CN"/>
        </w:rPr>
        <w:t xml:space="preserve"> </w:t>
      </w:r>
      <w:r>
        <w:rPr>
          <w:rFonts w:hint="default" w:ascii="Times New Roman" w:hAnsi="Times New Roman" w:eastAsia="宋体" w:cs="Times New Roman"/>
          <w:b/>
          <w:bCs w:val="0"/>
          <w:kern w:val="0"/>
          <w:sz w:val="21"/>
          <w:szCs w:val="21"/>
        </w:rPr>
        <w:t>路面噪声源强修正            单位：dB（A）</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10"/>
        <w:gridCol w:w="2310"/>
        <w:gridCol w:w="2310"/>
        <w:gridCol w:w="23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249" w:type="pct"/>
            <w:vMerge w:val="restar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路面类型</w:t>
            </w:r>
          </w:p>
        </w:tc>
        <w:tc>
          <w:tcPr>
            <w:tcW w:w="3750" w:type="pct"/>
            <w:gridSpan w:val="3"/>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不同行驶速度修正量（km/h）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49" w:type="pct"/>
            <w:vMerge w:val="continue"/>
            <w:tcBorders>
              <w:tl2br w:val="nil"/>
              <w:tr2bl w:val="nil"/>
            </w:tcBorders>
            <w:noWrap w:val="0"/>
            <w:vAlign w:val="center"/>
          </w:tcPr>
          <w:p>
            <w:pPr>
              <w:widowControl/>
              <w:jc w:val="left"/>
              <w:rPr>
                <w:rFonts w:hint="default" w:ascii="Times New Roman" w:hAnsi="Times New Roman" w:cs="Times New Roman"/>
                <w:b w:val="0"/>
                <w:bCs/>
                <w:sz w:val="21"/>
                <w:szCs w:val="21"/>
              </w:rPr>
            </w:pPr>
          </w:p>
        </w:tc>
        <w:tc>
          <w:tcPr>
            <w:tcW w:w="1249"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30</w:t>
            </w:r>
          </w:p>
        </w:tc>
        <w:tc>
          <w:tcPr>
            <w:tcW w:w="1250"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40</w:t>
            </w:r>
          </w:p>
        </w:tc>
        <w:tc>
          <w:tcPr>
            <w:tcW w:w="1250"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沥青混凝土</w:t>
            </w:r>
          </w:p>
        </w:tc>
        <w:tc>
          <w:tcPr>
            <w:tcW w:w="1249"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w:t>
            </w:r>
          </w:p>
        </w:tc>
        <w:tc>
          <w:tcPr>
            <w:tcW w:w="1250"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w:t>
            </w:r>
          </w:p>
        </w:tc>
        <w:tc>
          <w:tcPr>
            <w:tcW w:w="1250"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水泥混凝土</w:t>
            </w:r>
          </w:p>
        </w:tc>
        <w:tc>
          <w:tcPr>
            <w:tcW w:w="1249"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w:t>
            </w:r>
          </w:p>
        </w:tc>
        <w:tc>
          <w:tcPr>
            <w:tcW w:w="1250"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1.5</w:t>
            </w:r>
          </w:p>
        </w:tc>
        <w:tc>
          <w:tcPr>
            <w:tcW w:w="1250" w:type="pct"/>
            <w:tcBorders>
              <w:tl2br w:val="nil"/>
              <w:tr2bl w:val="nil"/>
            </w:tcBorders>
            <w:noWrap w:val="0"/>
            <w:vAlign w:val="center"/>
          </w:tcPr>
          <w:p>
            <w:pPr>
              <w:adjustRightIn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w:t>
            </w:r>
          </w:p>
        </w:tc>
      </w:tr>
    </w:tbl>
    <w:p>
      <w:pPr>
        <w:adjustRightInd w:val="0"/>
        <w:spacing w:line="360" w:lineRule="auto"/>
        <w:ind w:firstLine="420" w:firstLineChars="200"/>
        <w:rPr>
          <w:rFonts w:hint="default" w:ascii="Times New Roman" w:hAnsi="Times New Roman" w:cs="Times New Roman"/>
          <w:b w:val="0"/>
          <w:bCs/>
          <w:sz w:val="21"/>
          <w:szCs w:val="21"/>
        </w:rPr>
      </w:pPr>
      <w:r>
        <w:rPr>
          <w:rFonts w:hint="default" w:ascii="Times New Roman" w:hAnsi="Times New Roman" w:cs="Times New Roman"/>
          <w:b w:val="0"/>
          <w:bCs/>
          <w:sz w:val="21"/>
          <w:szCs w:val="21"/>
        </w:rPr>
        <w:t>经计算，项目道路车辆在各预测</w:t>
      </w:r>
      <w:r>
        <w:rPr>
          <w:rFonts w:hint="default" w:ascii="Times New Roman" w:hAnsi="Times New Roman" w:cs="Times New Roman"/>
          <w:b w:val="0"/>
          <w:bCs/>
          <w:sz w:val="21"/>
          <w:szCs w:val="21"/>
          <w:highlight w:val="none"/>
        </w:rPr>
        <w:t>年</w:t>
      </w:r>
      <w:r>
        <w:rPr>
          <w:rFonts w:hint="default" w:ascii="Times New Roman" w:hAnsi="Times New Roman" w:cs="Times New Roman"/>
          <w:b w:val="0"/>
          <w:bCs/>
          <w:sz w:val="21"/>
          <w:szCs w:val="21"/>
        </w:rPr>
        <w:t>的平均辐射声级见下表。</w:t>
      </w:r>
    </w:p>
    <w:p>
      <w:pPr>
        <w:numPr>
          <w:ilvl w:val="0"/>
          <w:numId w:val="0"/>
        </w:numPr>
        <w:tabs>
          <w:tab w:val="left" w:pos="0"/>
        </w:tabs>
        <w:autoSpaceDE w:val="0"/>
        <w:autoSpaceDN w:val="0"/>
        <w:adjustRightInd w:val="0"/>
        <w:ind w:leftChars="0"/>
        <w:jc w:val="center"/>
        <w:rPr>
          <w:rFonts w:hint="default" w:ascii="Times New Roman" w:hAnsi="Times New Roman" w:eastAsia="宋体" w:cs="Times New Roman"/>
          <w:b/>
          <w:bCs w:val="0"/>
          <w:color w:val="auto"/>
          <w:kern w:val="0"/>
          <w:sz w:val="21"/>
          <w:szCs w:val="21"/>
        </w:rPr>
      </w:pPr>
      <w:r>
        <w:rPr>
          <w:rFonts w:hint="eastAsia" w:ascii="Times New Roman" w:hAnsi="Times New Roman" w:cs="Times New Roman"/>
          <w:b/>
          <w:bCs w:val="0"/>
          <w:kern w:val="0"/>
          <w:sz w:val="21"/>
          <w:szCs w:val="21"/>
          <w:lang w:val="en-US" w:eastAsia="zh-CN"/>
        </w:rPr>
        <w:t>表4.4-18</w:t>
      </w:r>
      <w:r>
        <w:rPr>
          <w:rFonts w:hint="default" w:ascii="Times New Roman" w:hAnsi="Times New Roman" w:eastAsia="宋体" w:cs="Times New Roman"/>
          <w:b/>
          <w:bCs w:val="0"/>
          <w:kern w:val="0"/>
          <w:sz w:val="21"/>
          <w:szCs w:val="21"/>
          <w:lang w:val="en-US" w:eastAsia="zh-CN"/>
        </w:rPr>
        <w:t xml:space="preserve"> </w:t>
      </w:r>
      <w:r>
        <w:rPr>
          <w:rFonts w:hint="default" w:ascii="Times New Roman" w:hAnsi="Times New Roman" w:eastAsia="宋体" w:cs="Times New Roman"/>
          <w:b/>
          <w:bCs w:val="0"/>
          <w:color w:val="auto"/>
          <w:kern w:val="0"/>
          <w:sz w:val="21"/>
          <w:szCs w:val="21"/>
        </w:rPr>
        <w:t>各类型车型平均辐射噪声级        单位：dB（A）</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89"/>
        <w:gridCol w:w="1192"/>
        <w:gridCol w:w="1098"/>
        <w:gridCol w:w="1116"/>
        <w:gridCol w:w="222"/>
        <w:gridCol w:w="1103"/>
        <w:gridCol w:w="1092"/>
        <w:gridCol w:w="1117"/>
        <w:gridCol w:w="11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restar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工程</w:t>
            </w:r>
          </w:p>
        </w:tc>
        <w:tc>
          <w:tcPr>
            <w:tcW w:w="659" w:type="pct"/>
            <w:vMerge w:val="restar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特征年</w:t>
            </w:r>
          </w:p>
        </w:tc>
        <w:tc>
          <w:tcPr>
            <w:tcW w:w="3682" w:type="pct"/>
            <w:gridSpan w:val="7"/>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车型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 w:hRule="atLeast"/>
          <w:jc w:val="center"/>
        </w:trPr>
        <w:tc>
          <w:tcPr>
            <w:tcW w:w="657" w:type="pct"/>
            <w:vMerge w:val="continue"/>
            <w:tcBorders>
              <w:tl2br w:val="nil"/>
              <w:tr2bl w:val="nil"/>
            </w:tcBorders>
            <w:noWrap w:val="0"/>
            <w:vAlign w:val="center"/>
          </w:tcPr>
          <w:p>
            <w:pPr>
              <w:widowControl/>
              <w:jc w:val="left"/>
              <w:rPr>
                <w:rFonts w:hint="default" w:ascii="Times New Roman" w:hAnsi="Times New Roman" w:eastAsia="宋体" w:cs="Times New Roman"/>
                <w:b w:val="0"/>
                <w:bCs/>
                <w:color w:val="auto"/>
                <w:kern w:val="0"/>
                <w:sz w:val="21"/>
                <w:szCs w:val="21"/>
              </w:rPr>
            </w:pPr>
          </w:p>
        </w:tc>
        <w:tc>
          <w:tcPr>
            <w:tcW w:w="659" w:type="pct"/>
            <w:vMerge w:val="continue"/>
            <w:tcBorders>
              <w:tl2br w:val="nil"/>
              <w:tr2bl w:val="nil"/>
            </w:tcBorders>
            <w:noWrap w:val="0"/>
            <w:vAlign w:val="center"/>
          </w:tcPr>
          <w:p>
            <w:pPr>
              <w:widowControl/>
              <w:jc w:val="left"/>
              <w:rPr>
                <w:rFonts w:hint="default" w:ascii="Times New Roman" w:hAnsi="Times New Roman" w:eastAsia="宋体" w:cs="Times New Roman"/>
                <w:b w:val="0"/>
                <w:bCs/>
                <w:color w:val="auto"/>
                <w:kern w:val="0"/>
                <w:sz w:val="21"/>
                <w:szCs w:val="21"/>
              </w:rPr>
            </w:pPr>
          </w:p>
        </w:tc>
        <w:tc>
          <w:tcPr>
            <w:tcW w:w="1226" w:type="pct"/>
            <w:gridSpan w:val="2"/>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小型车</w:t>
            </w:r>
          </w:p>
        </w:tc>
        <w:tc>
          <w:tcPr>
            <w:tcW w:w="1220" w:type="pct"/>
            <w:gridSpan w:val="3"/>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中型车</w:t>
            </w:r>
          </w:p>
        </w:tc>
        <w:tc>
          <w:tcPr>
            <w:tcW w:w="1235" w:type="pct"/>
            <w:gridSpan w:val="2"/>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大型车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 w:hRule="atLeast"/>
          <w:jc w:val="center"/>
        </w:trPr>
        <w:tc>
          <w:tcPr>
            <w:tcW w:w="657" w:type="pct"/>
            <w:vMerge w:val="continue"/>
            <w:tcBorders>
              <w:tl2br w:val="nil"/>
              <w:tr2bl w:val="nil"/>
            </w:tcBorders>
            <w:noWrap w:val="0"/>
            <w:vAlign w:val="center"/>
          </w:tcPr>
          <w:p>
            <w:pPr>
              <w:widowControl/>
              <w:jc w:val="center"/>
              <w:rPr>
                <w:rFonts w:hint="default" w:ascii="Times New Roman" w:hAnsi="Times New Roman" w:cs="Times New Roman"/>
                <w:b w:val="0"/>
                <w:bCs/>
                <w:color w:val="auto"/>
              </w:rPr>
            </w:pPr>
          </w:p>
        </w:tc>
        <w:tc>
          <w:tcPr>
            <w:tcW w:w="65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rPr>
            </w:pPr>
          </w:p>
        </w:tc>
        <w:tc>
          <w:tcPr>
            <w:tcW w:w="608" w:type="pct"/>
            <w:tcBorders>
              <w:tl2br w:val="nil"/>
              <w:tr2bl w:val="nil"/>
            </w:tcBorders>
            <w:noWrap w:val="0"/>
            <w:vAlign w:val="center"/>
          </w:tcPr>
          <w:p>
            <w:pPr>
              <w:widowControl/>
              <w:jc w:val="center"/>
              <w:rPr>
                <w:rFonts w:hint="default" w:ascii="Times New Roman" w:hAnsi="Times New Roman" w:cs="Times New Roman"/>
                <w:b w:val="0"/>
                <w:bCs/>
                <w:color w:val="auto"/>
              </w:rPr>
            </w:pPr>
            <w:r>
              <w:rPr>
                <w:rFonts w:hint="default" w:ascii="Times New Roman" w:hAnsi="Times New Roman" w:eastAsia="宋体" w:cs="Times New Roman"/>
                <w:b w:val="0"/>
                <w:bCs/>
                <w:color w:val="auto"/>
                <w:kern w:val="0"/>
                <w:sz w:val="21"/>
                <w:szCs w:val="21"/>
              </w:rPr>
              <w:t>昼</w:t>
            </w:r>
          </w:p>
        </w:tc>
        <w:tc>
          <w:tcPr>
            <w:tcW w:w="618" w:type="pct"/>
            <w:tcBorders>
              <w:tl2br w:val="nil"/>
              <w:tr2bl w:val="nil"/>
            </w:tcBorders>
            <w:noWrap w:val="0"/>
            <w:vAlign w:val="center"/>
          </w:tcPr>
          <w:p>
            <w:pPr>
              <w:widowControl/>
              <w:jc w:val="center"/>
              <w:rPr>
                <w:rFonts w:hint="default" w:ascii="Times New Roman" w:hAnsi="Times New Roman" w:cs="Times New Roman"/>
                <w:b w:val="0"/>
                <w:bCs/>
                <w:color w:val="auto"/>
              </w:rPr>
            </w:pPr>
            <w:r>
              <w:rPr>
                <w:rFonts w:hint="default" w:ascii="Times New Roman" w:hAnsi="Times New Roman" w:eastAsia="宋体" w:cs="Times New Roman"/>
                <w:b w:val="0"/>
                <w:bCs/>
                <w:color w:val="auto"/>
                <w:kern w:val="0"/>
                <w:sz w:val="21"/>
                <w:szCs w:val="21"/>
              </w:rPr>
              <w:t>夜</w:t>
            </w:r>
          </w:p>
        </w:tc>
        <w:tc>
          <w:tcPr>
            <w:tcW w:w="8" w:type="pc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w:t>
            </w:r>
          </w:p>
        </w:tc>
        <w:tc>
          <w:tcPr>
            <w:tcW w:w="611" w:type="pct"/>
            <w:tcBorders>
              <w:tl2br w:val="nil"/>
              <w:tr2bl w:val="nil"/>
            </w:tcBorders>
            <w:noWrap w:val="0"/>
            <w:vAlign w:val="center"/>
          </w:tcPr>
          <w:p>
            <w:pPr>
              <w:widowControl/>
              <w:ind w:left="0" w:leftChars="0" w:right="0" w:right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w:t>
            </w:r>
          </w:p>
        </w:tc>
        <w:tc>
          <w:tcPr>
            <w:tcW w:w="600" w:type="pct"/>
            <w:tcBorders>
              <w:tl2br w:val="nil"/>
              <w:tr2bl w:val="nil"/>
            </w:tcBorders>
            <w:noWrap w:val="0"/>
            <w:vAlign w:val="center"/>
          </w:tcPr>
          <w:p>
            <w:pPr>
              <w:widowControl/>
              <w:ind w:left="0" w:leftChars="0" w:right="0" w:right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w:t>
            </w:r>
          </w:p>
        </w:tc>
        <w:tc>
          <w:tcPr>
            <w:tcW w:w="618" w:type="pct"/>
            <w:tcBorders>
              <w:tl2br w:val="nil"/>
              <w:tr2bl w:val="nil"/>
            </w:tcBorders>
            <w:noWrap w:val="0"/>
            <w:vAlign w:val="center"/>
          </w:tcPr>
          <w:p>
            <w:pPr>
              <w:widowControl/>
              <w:ind w:left="0" w:leftChars="0" w:right="0" w:right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w:t>
            </w:r>
          </w:p>
        </w:tc>
        <w:tc>
          <w:tcPr>
            <w:tcW w:w="616" w:type="pct"/>
            <w:tcBorders>
              <w:tl2br w:val="nil"/>
              <w:tr2bl w:val="nil"/>
            </w:tcBorders>
            <w:noWrap w:val="0"/>
            <w:vAlign w:val="center"/>
          </w:tcPr>
          <w:p>
            <w:pPr>
              <w:widowControl/>
              <w:ind w:left="0" w:leftChars="0" w:right="0" w:right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restar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本项目</w:t>
            </w:r>
          </w:p>
        </w:tc>
        <w:tc>
          <w:tcPr>
            <w:tcW w:w="659" w:type="pct"/>
            <w:tcBorders>
              <w:tl2br w:val="nil"/>
              <w:tr2bl w:val="nil"/>
            </w:tcBorders>
            <w:noWrap w:val="0"/>
            <w:vAlign w:val="center"/>
          </w:tcPr>
          <w:p>
            <w:pPr>
              <w:widowControl/>
              <w:jc w:val="center"/>
              <w:rPr>
                <w:rFonts w:hint="default" w:ascii="Times New Roman" w:hAnsi="Times New Roman" w:eastAsia="宋体" w:cs="Times New Roman"/>
                <w:b w:val="0"/>
                <w:bCs/>
                <w:color w:val="auto"/>
                <w:kern w:val="0"/>
                <w:sz w:val="21"/>
                <w:szCs w:val="21"/>
                <w:lang w:eastAsia="zh-CN"/>
              </w:rPr>
            </w:pPr>
            <w:r>
              <w:rPr>
                <w:rFonts w:hint="default" w:ascii="Times New Roman" w:hAnsi="Times New Roman" w:cs="Times New Roman"/>
                <w:b w:val="0"/>
                <w:bCs/>
                <w:color w:val="auto"/>
                <w:kern w:val="0"/>
                <w:sz w:val="21"/>
                <w:szCs w:val="21"/>
                <w:lang w:eastAsia="zh-CN"/>
              </w:rPr>
              <w:t>2025年</w:t>
            </w:r>
          </w:p>
        </w:tc>
        <w:tc>
          <w:tcPr>
            <w:tcW w:w="608"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71.73</w:t>
            </w:r>
          </w:p>
        </w:tc>
        <w:tc>
          <w:tcPr>
            <w:tcW w:w="62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cs="Times New Roman"/>
                <w:b w:val="0"/>
                <w:bCs/>
                <w:i w:val="0"/>
                <w:color w:val="auto"/>
                <w:kern w:val="0"/>
                <w:sz w:val="21"/>
                <w:szCs w:val="21"/>
                <w:u w:val="none"/>
                <w:lang w:val="en-US" w:eastAsia="zh-CN" w:bidi="ar"/>
              </w:rPr>
              <w:t>71.89</w:t>
            </w:r>
          </w:p>
        </w:tc>
        <w:tc>
          <w:tcPr>
            <w:tcW w:w="6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70.5</w:t>
            </w:r>
          </w:p>
        </w:tc>
        <w:tc>
          <w:tcPr>
            <w:tcW w:w="60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cs="Times New Roman"/>
                <w:b w:val="0"/>
                <w:bCs/>
                <w:i w:val="0"/>
                <w:color w:val="auto"/>
                <w:kern w:val="0"/>
                <w:sz w:val="21"/>
                <w:szCs w:val="21"/>
                <w:u w:val="none"/>
                <w:lang w:val="en-US" w:eastAsia="zh-CN" w:bidi="ar"/>
              </w:rPr>
              <w:t>71.17</w:t>
            </w:r>
          </w:p>
        </w:tc>
        <w:tc>
          <w:tcPr>
            <w:tcW w:w="618"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71.08</w:t>
            </w:r>
          </w:p>
        </w:tc>
        <w:tc>
          <w:tcPr>
            <w:tcW w:w="6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cs="Times New Roman"/>
                <w:b w:val="0"/>
                <w:bCs/>
                <w:i w:val="0"/>
                <w:color w:val="auto"/>
                <w:kern w:val="0"/>
                <w:sz w:val="21"/>
                <w:szCs w:val="21"/>
                <w:u w:val="none"/>
                <w:lang w:val="en-US" w:eastAsia="zh-CN" w:bidi="ar"/>
              </w:rPr>
              <w:t>78.07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continue"/>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rPr>
            </w:pPr>
          </w:p>
        </w:tc>
        <w:tc>
          <w:tcPr>
            <w:tcW w:w="659" w:type="pct"/>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2031年</w:t>
            </w:r>
          </w:p>
        </w:tc>
        <w:tc>
          <w:tcPr>
            <w:tcW w:w="608"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val="0"/>
                <w:bCs/>
                <w:sz w:val="21"/>
                <w:szCs w:val="21"/>
                <w:lang w:val="en-US"/>
              </w:rPr>
            </w:pPr>
            <w:r>
              <w:rPr>
                <w:rFonts w:hint="default" w:ascii="Times New Roman" w:hAnsi="Times New Roman" w:cs="Times New Roman"/>
                <w:b w:val="0"/>
                <w:bCs/>
                <w:sz w:val="21"/>
                <w:szCs w:val="21"/>
                <w:lang w:val="en-US" w:eastAsia="zh-CN"/>
              </w:rPr>
              <w:t>71.68</w:t>
            </w:r>
          </w:p>
        </w:tc>
        <w:tc>
          <w:tcPr>
            <w:tcW w:w="62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71.89</w:t>
            </w:r>
          </w:p>
        </w:tc>
        <w:tc>
          <w:tcPr>
            <w:tcW w:w="6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71.86</w:t>
            </w:r>
          </w:p>
        </w:tc>
        <w:tc>
          <w:tcPr>
            <w:tcW w:w="60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71.19</w:t>
            </w:r>
          </w:p>
        </w:tc>
        <w:tc>
          <w:tcPr>
            <w:tcW w:w="6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78.54</w:t>
            </w:r>
          </w:p>
        </w:tc>
        <w:tc>
          <w:tcPr>
            <w:tcW w:w="6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78.08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7" w:type="pct"/>
            <w:vMerge w:val="continue"/>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rPr>
            </w:pPr>
          </w:p>
        </w:tc>
        <w:tc>
          <w:tcPr>
            <w:tcW w:w="659" w:type="pct"/>
            <w:tcBorders>
              <w:tl2br w:val="nil"/>
              <w:tr2bl w:val="nil"/>
            </w:tcBorders>
            <w:noWrap w:val="0"/>
            <w:vAlign w:val="center"/>
          </w:tcPr>
          <w:p>
            <w:pPr>
              <w:widowControl/>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eastAsia="zh-CN"/>
              </w:rPr>
              <w:t>2039年</w:t>
            </w:r>
          </w:p>
        </w:tc>
        <w:tc>
          <w:tcPr>
            <w:tcW w:w="608"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val="0"/>
                <w:bCs/>
                <w:sz w:val="21"/>
                <w:szCs w:val="21"/>
                <w:lang w:val="en-US"/>
              </w:rPr>
            </w:pPr>
            <w:r>
              <w:rPr>
                <w:rFonts w:hint="default" w:ascii="Times New Roman" w:hAnsi="Times New Roman" w:cs="Times New Roman"/>
                <w:b w:val="0"/>
                <w:bCs/>
                <w:sz w:val="21"/>
                <w:szCs w:val="21"/>
                <w:lang w:val="en-US" w:eastAsia="zh-CN"/>
              </w:rPr>
              <w:t>71.63</w:t>
            </w:r>
          </w:p>
        </w:tc>
        <w:tc>
          <w:tcPr>
            <w:tcW w:w="62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71.88</w:t>
            </w:r>
          </w:p>
        </w:tc>
        <w:tc>
          <w:tcPr>
            <w:tcW w:w="6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71.95</w:t>
            </w:r>
          </w:p>
        </w:tc>
        <w:tc>
          <w:tcPr>
            <w:tcW w:w="60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71.21</w:t>
            </w:r>
          </w:p>
        </w:tc>
        <w:tc>
          <w:tcPr>
            <w:tcW w:w="6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78.6</w:t>
            </w:r>
          </w:p>
        </w:tc>
        <w:tc>
          <w:tcPr>
            <w:tcW w:w="6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cs="Times New Roman"/>
                <w:b w:val="0"/>
                <w:bCs/>
                <w:i w:val="0"/>
                <w:color w:val="000000"/>
                <w:kern w:val="0"/>
                <w:sz w:val="21"/>
                <w:szCs w:val="21"/>
                <w:u w:val="none"/>
                <w:lang w:val="en-US" w:eastAsia="zh-CN" w:bidi="ar"/>
              </w:rPr>
              <w:t>78.09</w:t>
            </w:r>
          </w:p>
        </w:tc>
      </w:tr>
    </w:tbl>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预测模型</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本次噪声预测使用软件为环安科技在线模型计算平台，利用软件建立道路预测模型。</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default" w:ascii="Times New Roman" w:hAnsi="Times New Roman" w:eastAsia="宋体" w:cs="Times New Roman"/>
          <w:b w:val="0"/>
          <w:bCs w:val="0"/>
          <w:sz w:val="24"/>
          <w:szCs w:val="24"/>
          <w:lang w:val="en-US" w:eastAsia="zh-CN" w:bidi="zh-CN"/>
        </w:rPr>
        <w:t>交通噪声预测结果</w:t>
      </w:r>
    </w:p>
    <w:bookmarkEnd w:id="119"/>
    <w:bookmarkEnd w:id="120"/>
    <w:bookmarkEnd w:id="121"/>
    <w:bookmarkEnd w:id="122"/>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交通噪声预测结果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1）垂向声场预测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本项目路线较短，道路关系简单，但道路终点离临巴镇场镇较近，约30m；本次评价对靠近临巴场镇路段（K3+755）作为典型路段进行垂向等值线计算。</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①近期等值线分析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昼间等值线分析：距道路中心线5m处可满足昼间70dB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的4a类区限值要求，距道路中心线48m处可以满足昼间60dB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的2类区限值要求。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夜间等值线分析：距道路中心线16m处可满足夜间55dB（A）的4a类区限制要求，距离道路中心</w:t>
      </w:r>
      <w:r>
        <w:rPr>
          <w:rFonts w:hint="eastAsia" w:ascii="Times New Roman" w:hAnsi="Times New Roman" w:cs="Times New Roman"/>
          <w:b w:val="0"/>
          <w:bCs w:val="0"/>
          <w:sz w:val="24"/>
          <w:szCs w:val="24"/>
          <w:lang w:val="en-US" w:eastAsia="zh-CN" w:bidi="zh-CN"/>
        </w:rPr>
        <w:t>线</w:t>
      </w:r>
      <w:r>
        <w:rPr>
          <w:rFonts w:hint="default" w:ascii="Times New Roman" w:hAnsi="Times New Roman" w:cs="Times New Roman"/>
          <w:b w:val="0"/>
          <w:bCs w:val="0"/>
          <w:sz w:val="24"/>
          <w:szCs w:val="24"/>
          <w:lang w:val="en-US" w:eastAsia="zh-CN" w:bidi="zh-CN"/>
        </w:rPr>
        <w:t>3</w:t>
      </w:r>
      <w:r>
        <w:rPr>
          <w:rFonts w:hint="eastAsia" w:ascii="Times New Roman" w:hAnsi="Times New Roman" w:cs="Times New Roman"/>
          <w:b w:val="0"/>
          <w:bCs w:val="0"/>
          <w:sz w:val="24"/>
          <w:szCs w:val="24"/>
          <w:lang w:val="en-US" w:eastAsia="zh-CN" w:bidi="zh-CN"/>
        </w:rPr>
        <w:t>5</w:t>
      </w:r>
      <w:r>
        <w:rPr>
          <w:rFonts w:hint="default" w:ascii="Times New Roman" w:hAnsi="Times New Roman" w:cs="Times New Roman"/>
          <w:b w:val="0"/>
          <w:bCs w:val="0"/>
          <w:sz w:val="24"/>
          <w:szCs w:val="24"/>
          <w:lang w:val="en-US" w:eastAsia="zh-CN" w:bidi="zh-CN"/>
        </w:rPr>
        <w:t>m满足2类区夜间50dB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的限值要求。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②中期等值线预测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昼间等值线分析：距道路中心线6m处可满足昼间70dB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的4a类区限值要求，距道路中心线50m处可以满足昼间60dB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的2类区限值要求。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夜间等值线分析：距道路中心线10m处可满足夜间55dB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的4a类区限值要求，距离道路中心线38m满足2类区夜间50dB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的限值要求。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③远期等值线预测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昼间等值线分析：距道路中心线7m处可满足昼间70dB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的4a类区限值要求，距道路中心线56m处可以满足昼间60dB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的2类区限值要求。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夜间等值线分析：距道路中心线7m处可满足夜间55dB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的4a类区限值要求，距离道路中心线48m满足2类区夜间50dB</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A</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的限值要求。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bidi="zh-CN"/>
        </w:rPr>
        <w:sectPr>
          <w:pgSz w:w="11911" w:h="16838"/>
          <w:pgMar w:top="1378" w:right="1179" w:bottom="1202" w:left="1219" w:header="873" w:footer="1020" w:gutter="0"/>
          <w:pgNumType w:fmt="decimal"/>
          <w:cols w:space="0" w:num="1"/>
          <w:rtlGutter w:val="0"/>
          <w:docGrid w:linePitch="0" w:charSpace="0"/>
        </w:sectPr>
      </w:pPr>
    </w:p>
    <w:p>
      <w:pPr>
        <w:pStyle w:val="2"/>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drawing>
          <wp:inline distT="0" distB="0" distL="114300" distR="114300">
            <wp:extent cx="8004175" cy="5768975"/>
            <wp:effectExtent l="0" t="0" r="15875" b="3175"/>
            <wp:docPr id="24" name="图片 24" descr="2023昼间垂向等值线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3昼间垂向等值线预测"/>
                    <pic:cNvPicPr>
                      <a:picLocks noChangeAspect="1"/>
                    </pic:cNvPicPr>
                  </pic:nvPicPr>
                  <pic:blipFill>
                    <a:blip r:embed="rId98"/>
                    <a:stretch>
                      <a:fillRect/>
                    </a:stretch>
                  </pic:blipFill>
                  <pic:spPr>
                    <a:xfrm>
                      <a:off x="0" y="0"/>
                      <a:ext cx="8004175" cy="5768975"/>
                    </a:xfrm>
                    <a:prstGeom prst="rect">
                      <a:avLst/>
                    </a:prstGeom>
                  </pic:spPr>
                </pic:pic>
              </a:graphicData>
            </a:graphic>
          </wp:inline>
        </w:drawing>
      </w:r>
    </w:p>
    <w:p>
      <w:pPr>
        <w:autoSpaceDE w:val="0"/>
        <w:autoSpaceDN w:val="0"/>
        <w:adjustRightInd w:val="0"/>
        <w:snapToGrid w:val="0"/>
        <w:spacing w:line="360" w:lineRule="auto"/>
        <w:ind w:firstLine="422" w:firstLineChars="200"/>
        <w:jc w:val="center"/>
        <w:rPr>
          <w:rFonts w:hint="default" w:ascii="Times New Roman" w:hAnsi="Times New Roman" w:cs="Times New Roman"/>
          <w:b w:val="0"/>
          <w:bCs w:val="0"/>
          <w:sz w:val="21"/>
          <w:szCs w:val="21"/>
          <w:lang w:val="en-US" w:eastAsia="zh-CN" w:bidi="zh-CN"/>
        </w:rPr>
      </w:pPr>
      <w:r>
        <w:rPr>
          <w:rFonts w:hint="eastAsia" w:ascii="Times New Roman" w:hAnsi="Times New Roman" w:cs="Times New Roman"/>
          <w:b/>
          <w:bCs w:val="0"/>
          <w:kern w:val="0"/>
          <w:sz w:val="21"/>
          <w:szCs w:val="21"/>
          <w:lang w:val="en-US" w:eastAsia="zh-CN"/>
        </w:rPr>
        <w:t>图4.4-9</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断面</w:t>
      </w:r>
      <w:r>
        <w:rPr>
          <w:rFonts w:hint="default" w:ascii="Times New Roman" w:hAnsi="Times New Roman" w:cs="Times New Roman"/>
          <w:b/>
          <w:bCs/>
          <w:color w:val="auto"/>
          <w:sz w:val="21"/>
          <w:szCs w:val="21"/>
          <w:lang w:val="en-US" w:eastAsia="zh-CN"/>
        </w:rPr>
        <w:t>近</w:t>
      </w:r>
      <w:r>
        <w:rPr>
          <w:rFonts w:hint="default" w:ascii="Times New Roman" w:hAnsi="Times New Roman" w:cs="Times New Roman"/>
          <w:b/>
          <w:bCs/>
          <w:color w:val="auto"/>
          <w:sz w:val="21"/>
          <w:szCs w:val="21"/>
        </w:rPr>
        <w:t>期昼间噪声等值线图</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drawing>
          <wp:inline distT="0" distB="0" distL="114300" distR="114300">
            <wp:extent cx="8223885" cy="5935345"/>
            <wp:effectExtent l="0" t="0" r="5715" b="8255"/>
            <wp:docPr id="25" name="图片 25" descr="2023夜间垂向等值线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3夜间垂向等值线预测"/>
                    <pic:cNvPicPr>
                      <a:picLocks noChangeAspect="1"/>
                    </pic:cNvPicPr>
                  </pic:nvPicPr>
                  <pic:blipFill>
                    <a:blip r:embed="rId99"/>
                    <a:stretch>
                      <a:fillRect/>
                    </a:stretch>
                  </pic:blipFill>
                  <pic:spPr>
                    <a:xfrm>
                      <a:off x="0" y="0"/>
                      <a:ext cx="8223885" cy="5935345"/>
                    </a:xfrm>
                    <a:prstGeom prst="rect">
                      <a:avLst/>
                    </a:prstGeom>
                  </pic:spPr>
                </pic:pic>
              </a:graphicData>
            </a:graphic>
          </wp:inline>
        </w:drawing>
      </w:r>
    </w:p>
    <w:p>
      <w:pPr>
        <w:autoSpaceDE w:val="0"/>
        <w:autoSpaceDN w:val="0"/>
        <w:adjustRightInd w:val="0"/>
        <w:snapToGrid w:val="0"/>
        <w:spacing w:line="240" w:lineRule="auto"/>
        <w:ind w:firstLine="422" w:firstLineChars="200"/>
        <w:jc w:val="center"/>
        <w:rPr>
          <w:rFonts w:hint="default" w:ascii="Times New Roman" w:hAnsi="Times New Roman" w:cs="Times New Roman"/>
          <w:b/>
          <w:bCs/>
          <w:color w:val="auto"/>
          <w:sz w:val="21"/>
          <w:szCs w:val="21"/>
        </w:rPr>
        <w:sectPr>
          <w:pgSz w:w="16838" w:h="11911" w:orient="landscape"/>
          <w:pgMar w:top="879" w:right="1100" w:bottom="879" w:left="1219" w:header="873" w:footer="1020" w:gutter="0"/>
          <w:pgNumType w:fmt="decimal"/>
          <w:cols w:space="0" w:num="1"/>
          <w:rtlGutter w:val="0"/>
          <w:docGrid w:linePitch="0" w:charSpace="0"/>
        </w:sectPr>
      </w:pPr>
      <w:r>
        <w:rPr>
          <w:rFonts w:hint="eastAsia" w:ascii="Times New Roman" w:hAnsi="Times New Roman" w:cs="Times New Roman"/>
          <w:b/>
          <w:bCs w:val="0"/>
          <w:kern w:val="0"/>
          <w:sz w:val="21"/>
          <w:szCs w:val="21"/>
          <w:lang w:val="en-US" w:eastAsia="zh-CN"/>
        </w:rPr>
        <w:t>图4.4-10</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断面</w:t>
      </w:r>
      <w:r>
        <w:rPr>
          <w:rFonts w:hint="default" w:ascii="Times New Roman" w:hAnsi="Times New Roman" w:cs="Times New Roman"/>
          <w:b/>
          <w:bCs/>
          <w:color w:val="auto"/>
          <w:sz w:val="21"/>
          <w:szCs w:val="21"/>
          <w:lang w:val="en-US" w:eastAsia="zh-CN"/>
        </w:rPr>
        <w:t>近</w:t>
      </w:r>
      <w:r>
        <w:rPr>
          <w:rFonts w:hint="default" w:ascii="Times New Roman" w:hAnsi="Times New Roman" w:cs="Times New Roman"/>
          <w:b/>
          <w:bCs/>
          <w:color w:val="auto"/>
          <w:sz w:val="21"/>
          <w:szCs w:val="21"/>
        </w:rPr>
        <w:t>期</w:t>
      </w:r>
      <w:r>
        <w:rPr>
          <w:rFonts w:hint="default" w:ascii="Times New Roman" w:hAnsi="Times New Roman" w:cs="Times New Roman"/>
          <w:b/>
          <w:bCs/>
          <w:color w:val="auto"/>
          <w:sz w:val="21"/>
          <w:szCs w:val="21"/>
          <w:lang w:val="en-US" w:eastAsia="zh-CN"/>
        </w:rPr>
        <w:t>夜</w:t>
      </w:r>
      <w:r>
        <w:rPr>
          <w:rFonts w:hint="default" w:ascii="Times New Roman" w:hAnsi="Times New Roman" w:cs="Times New Roman"/>
          <w:b/>
          <w:bCs/>
          <w:color w:val="auto"/>
          <w:sz w:val="21"/>
          <w:szCs w:val="21"/>
        </w:rPr>
        <w:t>间噪声等值线图</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drawing>
          <wp:inline distT="0" distB="0" distL="114300" distR="114300">
            <wp:extent cx="8213090" cy="5946140"/>
            <wp:effectExtent l="0" t="0" r="16510" b="16510"/>
            <wp:docPr id="26" name="图片 26" descr="2029昼间垂向等值线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9昼间垂向等值线预测"/>
                    <pic:cNvPicPr>
                      <a:picLocks noChangeAspect="1"/>
                    </pic:cNvPicPr>
                  </pic:nvPicPr>
                  <pic:blipFill>
                    <a:blip r:embed="rId100"/>
                    <a:stretch>
                      <a:fillRect/>
                    </a:stretch>
                  </pic:blipFill>
                  <pic:spPr>
                    <a:xfrm>
                      <a:off x="0" y="0"/>
                      <a:ext cx="8213090" cy="5946140"/>
                    </a:xfrm>
                    <a:prstGeom prst="rect">
                      <a:avLst/>
                    </a:prstGeom>
                  </pic:spPr>
                </pic:pic>
              </a:graphicData>
            </a:graphic>
          </wp:inline>
        </w:drawing>
      </w:r>
    </w:p>
    <w:p>
      <w:pPr>
        <w:autoSpaceDE w:val="0"/>
        <w:autoSpaceDN w:val="0"/>
        <w:adjustRightInd w:val="0"/>
        <w:snapToGrid w:val="0"/>
        <w:spacing w:line="360" w:lineRule="auto"/>
        <w:ind w:firstLine="422" w:firstLineChars="200"/>
        <w:jc w:val="center"/>
        <w:rPr>
          <w:rFonts w:hint="default" w:ascii="Times New Roman" w:hAnsi="Times New Roman" w:cs="Times New Roman"/>
          <w:b w:val="0"/>
          <w:bCs w:val="0"/>
          <w:sz w:val="21"/>
          <w:szCs w:val="21"/>
          <w:lang w:val="en-US" w:eastAsia="zh-CN" w:bidi="zh-CN"/>
        </w:rPr>
      </w:pPr>
      <w:r>
        <w:rPr>
          <w:rFonts w:hint="eastAsia" w:ascii="Times New Roman" w:hAnsi="Times New Roman" w:cs="Times New Roman"/>
          <w:b/>
          <w:bCs w:val="0"/>
          <w:kern w:val="0"/>
          <w:sz w:val="21"/>
          <w:szCs w:val="21"/>
          <w:lang w:val="en-US" w:eastAsia="zh-CN"/>
        </w:rPr>
        <w:t>图4.4-11</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断面</w:t>
      </w:r>
      <w:r>
        <w:rPr>
          <w:rFonts w:hint="default" w:ascii="Times New Roman" w:hAnsi="Times New Roman" w:cs="Times New Roman"/>
          <w:b/>
          <w:bCs/>
          <w:color w:val="auto"/>
          <w:sz w:val="21"/>
          <w:szCs w:val="21"/>
          <w:lang w:val="en-US" w:eastAsia="zh-CN"/>
        </w:rPr>
        <w:t>中</w:t>
      </w:r>
      <w:r>
        <w:rPr>
          <w:rFonts w:hint="default" w:ascii="Times New Roman" w:hAnsi="Times New Roman" w:cs="Times New Roman"/>
          <w:b/>
          <w:bCs/>
          <w:color w:val="auto"/>
          <w:sz w:val="21"/>
          <w:szCs w:val="21"/>
        </w:rPr>
        <w:t>期昼间噪声等值线图</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drawing>
          <wp:inline distT="0" distB="0" distL="114300" distR="114300">
            <wp:extent cx="8256270" cy="5989955"/>
            <wp:effectExtent l="0" t="0" r="11430" b="10795"/>
            <wp:docPr id="27" name="图片 27" descr="2029夜间垂向等值线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9夜间垂向等值线预测"/>
                    <pic:cNvPicPr>
                      <a:picLocks noChangeAspect="1"/>
                    </pic:cNvPicPr>
                  </pic:nvPicPr>
                  <pic:blipFill>
                    <a:blip r:embed="rId101"/>
                    <a:stretch>
                      <a:fillRect/>
                    </a:stretch>
                  </pic:blipFill>
                  <pic:spPr>
                    <a:xfrm>
                      <a:off x="0" y="0"/>
                      <a:ext cx="8256270" cy="5989955"/>
                    </a:xfrm>
                    <a:prstGeom prst="rect">
                      <a:avLst/>
                    </a:prstGeom>
                  </pic:spPr>
                </pic:pic>
              </a:graphicData>
            </a:graphic>
          </wp:inline>
        </w:drawing>
      </w:r>
    </w:p>
    <w:p>
      <w:pPr>
        <w:autoSpaceDE w:val="0"/>
        <w:autoSpaceDN w:val="0"/>
        <w:adjustRightInd w:val="0"/>
        <w:snapToGrid w:val="0"/>
        <w:spacing w:line="360" w:lineRule="auto"/>
        <w:ind w:firstLine="422" w:firstLineChars="200"/>
        <w:jc w:val="center"/>
        <w:rPr>
          <w:rFonts w:hint="default" w:ascii="Times New Roman" w:hAnsi="Times New Roman" w:cs="Times New Roman"/>
          <w:b w:val="0"/>
          <w:bCs w:val="0"/>
          <w:sz w:val="21"/>
          <w:szCs w:val="21"/>
          <w:lang w:val="en-US" w:eastAsia="zh-CN" w:bidi="zh-CN"/>
        </w:rPr>
      </w:pPr>
      <w:r>
        <w:rPr>
          <w:rFonts w:hint="eastAsia" w:ascii="Times New Roman" w:hAnsi="Times New Roman" w:cs="Times New Roman"/>
          <w:b/>
          <w:bCs w:val="0"/>
          <w:kern w:val="0"/>
          <w:sz w:val="21"/>
          <w:szCs w:val="21"/>
          <w:lang w:val="en-US" w:eastAsia="zh-CN"/>
        </w:rPr>
        <w:t>图4.4-12</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断面</w:t>
      </w:r>
      <w:r>
        <w:rPr>
          <w:rFonts w:hint="default" w:ascii="Times New Roman" w:hAnsi="Times New Roman" w:cs="Times New Roman"/>
          <w:b/>
          <w:bCs/>
          <w:color w:val="auto"/>
          <w:sz w:val="21"/>
          <w:szCs w:val="21"/>
          <w:lang w:val="en-US" w:eastAsia="zh-CN"/>
        </w:rPr>
        <w:t>近</w:t>
      </w:r>
      <w:r>
        <w:rPr>
          <w:rFonts w:hint="default" w:ascii="Times New Roman" w:hAnsi="Times New Roman" w:cs="Times New Roman"/>
          <w:b/>
          <w:bCs/>
          <w:color w:val="auto"/>
          <w:sz w:val="21"/>
          <w:szCs w:val="21"/>
        </w:rPr>
        <w:t>期</w:t>
      </w:r>
      <w:r>
        <w:rPr>
          <w:rFonts w:hint="default" w:ascii="Times New Roman" w:hAnsi="Times New Roman" w:cs="Times New Roman"/>
          <w:b/>
          <w:bCs/>
          <w:color w:val="auto"/>
          <w:sz w:val="21"/>
          <w:szCs w:val="21"/>
          <w:lang w:val="en-US" w:eastAsia="zh-CN"/>
        </w:rPr>
        <w:t>夜</w:t>
      </w:r>
      <w:r>
        <w:rPr>
          <w:rFonts w:hint="default" w:ascii="Times New Roman" w:hAnsi="Times New Roman" w:cs="Times New Roman"/>
          <w:b/>
          <w:bCs/>
          <w:color w:val="auto"/>
          <w:sz w:val="21"/>
          <w:szCs w:val="21"/>
        </w:rPr>
        <w:t>间噪声等值线图</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drawing>
          <wp:inline distT="0" distB="0" distL="114300" distR="114300">
            <wp:extent cx="8313420" cy="5963920"/>
            <wp:effectExtent l="0" t="0" r="11430" b="17780"/>
            <wp:docPr id="32" name="图片 32" descr="2037昼间垂向等值线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37昼间垂向等值线预测"/>
                    <pic:cNvPicPr>
                      <a:picLocks noChangeAspect="1"/>
                    </pic:cNvPicPr>
                  </pic:nvPicPr>
                  <pic:blipFill>
                    <a:blip r:embed="rId102"/>
                    <a:stretch>
                      <a:fillRect/>
                    </a:stretch>
                  </pic:blipFill>
                  <pic:spPr>
                    <a:xfrm>
                      <a:off x="0" y="0"/>
                      <a:ext cx="8313420" cy="5963920"/>
                    </a:xfrm>
                    <a:prstGeom prst="rect">
                      <a:avLst/>
                    </a:prstGeom>
                  </pic:spPr>
                </pic:pic>
              </a:graphicData>
            </a:graphic>
          </wp:inline>
        </w:drawing>
      </w:r>
    </w:p>
    <w:p>
      <w:pPr>
        <w:autoSpaceDE w:val="0"/>
        <w:autoSpaceDN w:val="0"/>
        <w:adjustRightInd w:val="0"/>
        <w:snapToGrid w:val="0"/>
        <w:spacing w:line="360" w:lineRule="auto"/>
        <w:ind w:firstLine="422" w:firstLineChars="200"/>
        <w:jc w:val="center"/>
        <w:rPr>
          <w:rFonts w:hint="default" w:ascii="Times New Roman" w:hAnsi="Times New Roman" w:cs="Times New Roman"/>
          <w:b w:val="0"/>
          <w:bCs w:val="0"/>
          <w:sz w:val="21"/>
          <w:szCs w:val="21"/>
          <w:lang w:val="en-US" w:eastAsia="zh-CN" w:bidi="zh-CN"/>
        </w:rPr>
      </w:pPr>
      <w:r>
        <w:rPr>
          <w:rFonts w:hint="eastAsia" w:ascii="Times New Roman" w:hAnsi="Times New Roman" w:cs="Times New Roman"/>
          <w:b/>
          <w:bCs w:val="0"/>
          <w:kern w:val="0"/>
          <w:sz w:val="21"/>
          <w:szCs w:val="21"/>
          <w:lang w:val="en-US" w:eastAsia="zh-CN"/>
        </w:rPr>
        <w:t>图4.4-13</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断面远期昼间噪声等值线图</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drawing>
          <wp:inline distT="0" distB="0" distL="114300" distR="114300">
            <wp:extent cx="8231505" cy="5958205"/>
            <wp:effectExtent l="0" t="0" r="17145" b="4445"/>
            <wp:docPr id="33" name="图片 33" descr="2037夜间垂向等值线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37夜间垂向等值线预测"/>
                    <pic:cNvPicPr>
                      <a:picLocks noChangeAspect="1"/>
                    </pic:cNvPicPr>
                  </pic:nvPicPr>
                  <pic:blipFill>
                    <a:blip r:embed="rId103"/>
                    <a:stretch>
                      <a:fillRect/>
                    </a:stretch>
                  </pic:blipFill>
                  <pic:spPr>
                    <a:xfrm>
                      <a:off x="0" y="0"/>
                      <a:ext cx="8231505" cy="5958205"/>
                    </a:xfrm>
                    <a:prstGeom prst="rect">
                      <a:avLst/>
                    </a:prstGeom>
                  </pic:spPr>
                </pic:pic>
              </a:graphicData>
            </a:graphic>
          </wp:inline>
        </w:drawing>
      </w:r>
    </w:p>
    <w:p>
      <w:pPr>
        <w:autoSpaceDE w:val="0"/>
        <w:autoSpaceDN w:val="0"/>
        <w:adjustRightInd w:val="0"/>
        <w:snapToGrid w:val="0"/>
        <w:spacing w:line="360" w:lineRule="auto"/>
        <w:ind w:firstLine="422" w:firstLineChars="200"/>
        <w:jc w:val="center"/>
        <w:rPr>
          <w:rFonts w:hint="default" w:ascii="Times New Roman" w:hAnsi="Times New Roman" w:cs="Times New Roman"/>
          <w:b/>
          <w:bCs/>
          <w:color w:val="auto"/>
          <w:sz w:val="21"/>
          <w:szCs w:val="21"/>
        </w:rPr>
        <w:sectPr>
          <w:pgSz w:w="16838" w:h="11911" w:orient="landscape"/>
          <w:pgMar w:top="879" w:right="1100" w:bottom="879" w:left="1219" w:header="873" w:footer="1020" w:gutter="0"/>
          <w:pgNumType w:fmt="decimal"/>
          <w:cols w:space="0" w:num="1"/>
          <w:rtlGutter w:val="0"/>
          <w:docGrid w:linePitch="0" w:charSpace="0"/>
        </w:sectPr>
      </w:pPr>
      <w:r>
        <w:rPr>
          <w:rFonts w:hint="eastAsia" w:ascii="Times New Roman" w:hAnsi="Times New Roman" w:cs="Times New Roman"/>
          <w:b/>
          <w:bCs w:val="0"/>
          <w:kern w:val="0"/>
          <w:sz w:val="21"/>
          <w:szCs w:val="21"/>
          <w:lang w:val="en-US" w:eastAsia="zh-CN"/>
        </w:rPr>
        <w:t>图4.4-14</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断面</w:t>
      </w:r>
      <w:r>
        <w:rPr>
          <w:rFonts w:hint="default" w:ascii="Times New Roman" w:hAnsi="Times New Roman" w:cs="Times New Roman"/>
          <w:b/>
          <w:bCs/>
          <w:color w:val="auto"/>
          <w:sz w:val="21"/>
          <w:szCs w:val="21"/>
          <w:lang w:val="en-US" w:eastAsia="zh-CN"/>
        </w:rPr>
        <w:t>近</w:t>
      </w:r>
      <w:r>
        <w:rPr>
          <w:rFonts w:hint="default" w:ascii="Times New Roman" w:hAnsi="Times New Roman" w:cs="Times New Roman"/>
          <w:b/>
          <w:bCs/>
          <w:color w:val="auto"/>
          <w:sz w:val="21"/>
          <w:szCs w:val="21"/>
        </w:rPr>
        <w:t>期</w:t>
      </w:r>
      <w:r>
        <w:rPr>
          <w:rFonts w:hint="default" w:ascii="Times New Roman" w:hAnsi="Times New Roman" w:cs="Times New Roman"/>
          <w:b/>
          <w:bCs/>
          <w:color w:val="auto"/>
          <w:sz w:val="21"/>
          <w:szCs w:val="21"/>
          <w:lang w:val="en-US" w:eastAsia="zh-CN"/>
        </w:rPr>
        <w:t>夜</w:t>
      </w:r>
      <w:r>
        <w:rPr>
          <w:rFonts w:hint="default" w:ascii="Times New Roman" w:hAnsi="Times New Roman" w:cs="Times New Roman"/>
          <w:b/>
          <w:bCs/>
          <w:color w:val="auto"/>
          <w:sz w:val="21"/>
          <w:szCs w:val="21"/>
        </w:rPr>
        <w:t>间噪声等值线图</w:t>
      </w:r>
    </w:p>
    <w:p>
      <w:pPr>
        <w:pStyle w:val="2"/>
        <w:rPr>
          <w:rFonts w:hint="default" w:ascii="Times New Roman" w:hAnsi="Times New Roman" w:cs="Times New Roman"/>
          <w:lang w:val="en-US" w:eastAsia="zh-CN"/>
        </w:rPr>
      </w:pPr>
    </w:p>
    <w:p>
      <w:pPr>
        <w:autoSpaceDE w:val="0"/>
        <w:autoSpaceDN w:val="0"/>
        <w:adjustRightInd w:val="0"/>
        <w:snapToGrid w:val="0"/>
        <w:spacing w:line="360" w:lineRule="auto"/>
        <w:ind w:firstLine="480" w:firstLineChars="200"/>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2）水平声场预测</w:t>
      </w:r>
    </w:p>
    <w:p>
      <w:pPr>
        <w:autoSpaceDE w:val="0"/>
        <w:autoSpaceDN w:val="0"/>
        <w:adjustRightInd w:val="0"/>
        <w:snapToGrid w:val="0"/>
        <w:spacing w:line="360" w:lineRule="auto"/>
        <w:ind w:firstLine="480" w:firstLineChars="200"/>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假定每个敏感路段路基高度均为0m，不考虑建筑物和树林的遮挡屏蔽影响及地形的变化影响，也不考虑空气吸收等衰减，即在平路基和开阔空旷环境下，在距离道路中心线20～200m范围内。根据上述预测方法</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预测模式和预测参数，对拟建道路典型路段的交通噪声在不同营运期</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不同时段</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不同路段</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距路中心线不同距离的影响进行预测，预测结果见下表。</w:t>
      </w: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pPr>
    </w:p>
    <w:p>
      <w:pPr>
        <w:rPr>
          <w:rFonts w:hint="default" w:ascii="Times New Roman" w:hAnsi="Times New Roman" w:cs="Times New Roman"/>
          <w:b w:val="0"/>
          <w:bCs w:val="0"/>
          <w:sz w:val="24"/>
          <w:szCs w:val="24"/>
          <w:lang w:val="en-US" w:eastAsia="zh-CN" w:bidi="zh-CN"/>
        </w:rPr>
      </w:pPr>
    </w:p>
    <w:p>
      <w:pPr>
        <w:pStyle w:val="2"/>
        <w:rPr>
          <w:rFonts w:hint="default" w:ascii="Times New Roman" w:hAnsi="Times New Roman" w:cs="Times New Roman"/>
          <w:b w:val="0"/>
          <w:bCs w:val="0"/>
          <w:sz w:val="24"/>
          <w:szCs w:val="24"/>
          <w:lang w:val="en-US" w:eastAsia="zh-CN" w:bidi="zh-CN"/>
        </w:rPr>
        <w:sectPr>
          <w:pgSz w:w="11911" w:h="16838"/>
          <w:pgMar w:top="1100" w:right="879" w:bottom="1219" w:left="879" w:header="873" w:footer="1020" w:gutter="0"/>
          <w:pgNumType w:fmt="decimal"/>
          <w:cols w:space="0" w:num="1"/>
          <w:rtlGutter w:val="0"/>
          <w:docGrid w:linePitch="0" w:charSpace="0"/>
        </w:sectPr>
      </w:pPr>
    </w:p>
    <w:p>
      <w:pPr>
        <w:rPr>
          <w:rFonts w:hint="default" w:ascii="Times New Roman" w:hAnsi="Times New Roman" w:cs="Times New Roman"/>
          <w:lang w:val="en-US" w:eastAsia="zh-CN"/>
        </w:rPr>
      </w:pPr>
    </w:p>
    <w:p>
      <w:pPr>
        <w:numPr>
          <w:ilvl w:val="0"/>
          <w:numId w:val="0"/>
        </w:numPr>
        <w:tabs>
          <w:tab w:val="left" w:pos="0"/>
        </w:tabs>
        <w:autoSpaceDE w:val="0"/>
        <w:autoSpaceDN w:val="0"/>
        <w:adjustRightInd w:val="0"/>
        <w:ind w:left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表4.4-19</w:t>
      </w:r>
      <w:r>
        <w:rPr>
          <w:rFonts w:hint="default" w:ascii="Times New Roman" w:hAnsi="Times New Roman" w:eastAsia="宋体" w:cs="Times New Roman"/>
          <w:b/>
          <w:bCs w:val="0"/>
          <w:kern w:val="0"/>
          <w:sz w:val="21"/>
          <w:szCs w:val="21"/>
          <w:lang w:val="en-US" w:eastAsia="zh-CN"/>
        </w:rPr>
        <w:t xml:space="preserve"> </w:t>
      </w:r>
      <w:r>
        <w:rPr>
          <w:rFonts w:hint="default" w:ascii="Times New Roman" w:hAnsi="Times New Roman" w:eastAsia="宋体" w:cs="Times New Roman"/>
          <w:b/>
          <w:bCs w:val="0"/>
          <w:kern w:val="0"/>
          <w:sz w:val="21"/>
          <w:szCs w:val="21"/>
        </w:rPr>
        <w:t>拟建道路不同水平距离处的交通噪声</w:t>
      </w:r>
      <w:r>
        <w:rPr>
          <w:rFonts w:hint="default" w:ascii="Times New Roman" w:hAnsi="Times New Roman" w:cs="Times New Roman"/>
          <w:b/>
          <w:bCs w:val="0"/>
          <w:kern w:val="0"/>
          <w:sz w:val="21"/>
          <w:szCs w:val="21"/>
          <w:lang w:val="en-US" w:eastAsia="zh-CN"/>
        </w:rPr>
        <w:t>预测结果</w:t>
      </w:r>
      <w:r>
        <w:rPr>
          <w:rFonts w:hint="default" w:ascii="Times New Roman" w:hAnsi="Times New Roman" w:eastAsia="宋体" w:cs="Times New Roman"/>
          <w:b/>
          <w:bCs w:val="0"/>
          <w:kern w:val="0"/>
          <w:sz w:val="21"/>
          <w:szCs w:val="21"/>
        </w:rPr>
        <w:t xml:space="preserve"> 单位：dB（A）</w:t>
      </w:r>
    </w:p>
    <w:tbl>
      <w:tblPr>
        <w:tblStyle w:val="17"/>
        <w:tblW w:w="475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1820"/>
        <w:gridCol w:w="871"/>
        <w:gridCol w:w="957"/>
        <w:gridCol w:w="1009"/>
        <w:gridCol w:w="1018"/>
        <w:gridCol w:w="1015"/>
        <w:gridCol w:w="1015"/>
        <w:gridCol w:w="1015"/>
        <w:gridCol w:w="1018"/>
        <w:gridCol w:w="1037"/>
        <w:gridCol w:w="1012"/>
        <w:gridCol w:w="1012"/>
        <w:gridCol w:w="1023"/>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restar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路段</w:t>
            </w:r>
          </w:p>
        </w:tc>
        <w:tc>
          <w:tcPr>
            <w:tcW w:w="315" w:type="pct"/>
            <w:vMerge w:val="restar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年份</w:t>
            </w:r>
          </w:p>
        </w:tc>
        <w:tc>
          <w:tcPr>
            <w:tcW w:w="346" w:type="pct"/>
            <w:vMerge w:val="restar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时间段</w:t>
            </w:r>
          </w:p>
        </w:tc>
        <w:tc>
          <w:tcPr>
            <w:tcW w:w="3680" w:type="pct"/>
            <w:gridSpan w:val="10"/>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计算点距路中心线距离（m）</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46"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64"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20</w:t>
            </w:r>
          </w:p>
        </w:tc>
        <w:tc>
          <w:tcPr>
            <w:tcW w:w="368"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40</w:t>
            </w:r>
          </w:p>
        </w:tc>
        <w:tc>
          <w:tcPr>
            <w:tcW w:w="367"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60</w:t>
            </w:r>
          </w:p>
        </w:tc>
        <w:tc>
          <w:tcPr>
            <w:tcW w:w="367"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80</w:t>
            </w:r>
          </w:p>
        </w:tc>
        <w:tc>
          <w:tcPr>
            <w:tcW w:w="367"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rPr>
              <w:t>1</w:t>
            </w:r>
            <w:r>
              <w:rPr>
                <w:rFonts w:hint="default" w:ascii="Times New Roman" w:hAnsi="Times New Roman" w:cs="Times New Roman"/>
                <w:b w:val="0"/>
                <w:bCs/>
                <w:color w:val="auto"/>
                <w:kern w:val="0"/>
                <w:sz w:val="21"/>
                <w:szCs w:val="21"/>
                <w:lang w:val="en-US" w:eastAsia="zh-CN"/>
              </w:rPr>
              <w:t>00</w:t>
            </w:r>
          </w:p>
        </w:tc>
        <w:tc>
          <w:tcPr>
            <w:tcW w:w="368"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120</w:t>
            </w:r>
          </w:p>
        </w:tc>
        <w:tc>
          <w:tcPr>
            <w:tcW w:w="375"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140</w:t>
            </w:r>
          </w:p>
        </w:tc>
        <w:tc>
          <w:tcPr>
            <w:tcW w:w="366"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160</w:t>
            </w:r>
          </w:p>
        </w:tc>
        <w:tc>
          <w:tcPr>
            <w:tcW w:w="366"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180</w:t>
            </w:r>
          </w:p>
        </w:tc>
        <w:tc>
          <w:tcPr>
            <w:tcW w:w="370"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200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restar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b w:val="0"/>
                <w:bCs/>
                <w:color w:val="auto"/>
                <w:kern w:val="0"/>
                <w:sz w:val="21"/>
                <w:szCs w:val="21"/>
                <w:lang w:val="en-US"/>
              </w:rPr>
            </w:pPr>
            <w:r>
              <w:rPr>
                <w:rFonts w:hint="default" w:ascii="Times New Roman" w:hAnsi="Times New Roman" w:cs="Times New Roman"/>
                <w:b w:val="0"/>
                <w:bCs/>
                <w:i w:val="0"/>
                <w:color w:val="auto"/>
                <w:kern w:val="0"/>
                <w:sz w:val="21"/>
                <w:szCs w:val="21"/>
                <w:u w:val="none"/>
                <w:lang w:val="en-US" w:eastAsia="zh-CN" w:bidi="ar"/>
              </w:rPr>
              <w:t>福善村</w:t>
            </w:r>
          </w:p>
        </w:tc>
        <w:tc>
          <w:tcPr>
            <w:tcW w:w="315" w:type="pct"/>
            <w:vMerge w:val="restart"/>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eastAsia="zh-CN"/>
              </w:rPr>
            </w:pPr>
            <w:r>
              <w:rPr>
                <w:rFonts w:hint="default" w:ascii="Times New Roman" w:hAnsi="Times New Roman" w:cs="Times New Roman"/>
                <w:b w:val="0"/>
                <w:bCs/>
                <w:color w:val="auto"/>
                <w:kern w:val="0"/>
                <w:sz w:val="21"/>
                <w:szCs w:val="21"/>
                <w:lang w:eastAsia="zh-CN"/>
              </w:rPr>
              <w:t>2025年</w:t>
            </w:r>
          </w:p>
        </w:tc>
        <w:tc>
          <w:tcPr>
            <w:tcW w:w="346"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color w:val="auto"/>
                <w:kern w:val="0"/>
                <w:sz w:val="21"/>
                <w:szCs w:val="21"/>
                <w:lang w:val="en-US"/>
              </w:rPr>
            </w:pPr>
            <w:r>
              <w:rPr>
                <w:rFonts w:hint="eastAsia" w:ascii="Times New Roman" w:hAnsi="Times New Roman" w:cs="Times New Roman"/>
                <w:i w:val="0"/>
                <w:iCs w:val="0"/>
                <w:color w:val="000000"/>
                <w:kern w:val="0"/>
                <w:sz w:val="22"/>
                <w:szCs w:val="22"/>
                <w:u w:val="none"/>
                <w:lang w:val="en-US" w:eastAsia="zh-CN" w:bidi="ar"/>
              </w:rPr>
              <w:t>61.26</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color w:val="auto"/>
                <w:kern w:val="0"/>
                <w:sz w:val="21"/>
                <w:szCs w:val="21"/>
                <w:lang w:val="en-US"/>
              </w:rPr>
            </w:pPr>
            <w:r>
              <w:rPr>
                <w:rFonts w:hint="default" w:ascii="Times New Roman" w:hAnsi="Times New Roman" w:eastAsia="宋体" w:cs="Times New Roman"/>
                <w:i w:val="0"/>
                <w:iCs w:val="0"/>
                <w:color w:val="000000"/>
                <w:kern w:val="0"/>
                <w:sz w:val="22"/>
                <w:szCs w:val="22"/>
                <w:u w:val="none"/>
                <w:lang w:val="en-US" w:eastAsia="zh-CN" w:bidi="ar"/>
              </w:rPr>
              <w:t>56.</w:t>
            </w:r>
            <w:r>
              <w:rPr>
                <w:rFonts w:hint="eastAsia" w:ascii="Times New Roman" w:hAnsi="Times New Roman" w:cs="Times New Roman"/>
                <w:i w:val="0"/>
                <w:iCs w:val="0"/>
                <w:color w:val="000000"/>
                <w:kern w:val="0"/>
                <w:sz w:val="22"/>
                <w:szCs w:val="22"/>
                <w:u w:val="none"/>
                <w:lang w:val="en-US" w:eastAsia="zh-CN" w:bidi="ar"/>
              </w:rPr>
              <w:t>95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color w:val="auto"/>
                <w:kern w:val="0"/>
                <w:sz w:val="21"/>
                <w:szCs w:val="21"/>
                <w:lang w:val="en-US"/>
              </w:rPr>
            </w:pPr>
            <w:r>
              <w:rPr>
                <w:rFonts w:hint="eastAsia" w:ascii="Times New Roman" w:hAnsi="Times New Roman" w:cs="Times New Roman"/>
                <w:i w:val="0"/>
                <w:iCs w:val="0"/>
                <w:color w:val="000000"/>
                <w:kern w:val="0"/>
                <w:sz w:val="22"/>
                <w:szCs w:val="22"/>
                <w:u w:val="none"/>
                <w:lang w:val="en-US" w:eastAsia="zh-CN" w:bidi="ar"/>
              </w:rPr>
              <w:t>55.49</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color w:val="auto"/>
                <w:kern w:val="0"/>
                <w:sz w:val="21"/>
                <w:szCs w:val="21"/>
                <w:lang w:val="en-US"/>
              </w:rPr>
            </w:pPr>
            <w:r>
              <w:rPr>
                <w:rFonts w:hint="eastAsia" w:ascii="Times New Roman" w:hAnsi="Times New Roman" w:cs="Times New Roman"/>
                <w:i w:val="0"/>
                <w:iCs w:val="0"/>
                <w:color w:val="000000"/>
                <w:kern w:val="0"/>
                <w:sz w:val="22"/>
                <w:szCs w:val="22"/>
                <w:u w:val="none"/>
                <w:lang w:val="en-US" w:eastAsia="zh-CN" w:bidi="ar"/>
              </w:rPr>
              <w:t>54.71</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color w:val="auto"/>
                <w:kern w:val="0"/>
                <w:sz w:val="21"/>
                <w:szCs w:val="21"/>
                <w:lang w:val="en-US"/>
              </w:rPr>
            </w:pPr>
            <w:r>
              <w:rPr>
                <w:rFonts w:hint="eastAsia" w:ascii="Times New Roman" w:hAnsi="Times New Roman" w:cs="Times New Roman"/>
                <w:i w:val="0"/>
                <w:iCs w:val="0"/>
                <w:color w:val="000000"/>
                <w:kern w:val="0"/>
                <w:sz w:val="22"/>
                <w:szCs w:val="22"/>
                <w:u w:val="none"/>
                <w:lang w:val="en-US" w:eastAsia="zh-CN" w:bidi="ar"/>
              </w:rPr>
              <w:t>54.18</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color w:val="auto"/>
                <w:kern w:val="0"/>
                <w:sz w:val="21"/>
                <w:szCs w:val="21"/>
                <w:lang w:val="en-US"/>
              </w:rPr>
            </w:pPr>
            <w:r>
              <w:rPr>
                <w:rFonts w:hint="eastAsia" w:ascii="Times New Roman" w:hAnsi="Times New Roman" w:cs="Times New Roman"/>
                <w:i w:val="0"/>
                <w:iCs w:val="0"/>
                <w:color w:val="000000"/>
                <w:kern w:val="0"/>
                <w:sz w:val="22"/>
                <w:szCs w:val="22"/>
                <w:u w:val="none"/>
                <w:lang w:val="en-US" w:eastAsia="zh-CN" w:bidi="ar"/>
              </w:rPr>
              <w:t>53.77</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color w:val="auto"/>
                <w:kern w:val="0"/>
                <w:sz w:val="21"/>
                <w:szCs w:val="21"/>
                <w:lang w:val="en-US"/>
              </w:rPr>
            </w:pPr>
            <w:r>
              <w:rPr>
                <w:rFonts w:hint="eastAsia" w:ascii="Times New Roman" w:hAnsi="Times New Roman" w:cs="Times New Roman"/>
                <w:i w:val="0"/>
                <w:iCs w:val="0"/>
                <w:color w:val="000000"/>
                <w:kern w:val="0"/>
                <w:sz w:val="22"/>
                <w:szCs w:val="22"/>
                <w:u w:val="none"/>
                <w:lang w:val="en-US" w:eastAsia="zh-CN" w:bidi="ar"/>
              </w:rPr>
              <w:t>53.4</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53.09</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52.82</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r>
              <w:rPr>
                <w:rFonts w:hint="eastAsia" w:ascii="Times New Roman" w:hAnsi="Times New Roman" w:cs="Times New Roman"/>
                <w:i w:val="0"/>
                <w:iCs w:val="0"/>
                <w:color w:val="000000"/>
                <w:kern w:val="0"/>
                <w:sz w:val="22"/>
                <w:szCs w:val="22"/>
                <w:u w:val="none"/>
                <w:lang w:val="en-US" w:eastAsia="zh-CN" w:bidi="ar"/>
              </w:rPr>
              <w:t>2.59</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46"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51.</w:t>
            </w:r>
            <w:r>
              <w:rPr>
                <w:rFonts w:hint="eastAsia" w:ascii="Times New Roman" w:hAnsi="Times New Roman" w:cs="Times New Roman"/>
                <w:i w:val="0"/>
                <w:iCs w:val="0"/>
                <w:color w:val="000000"/>
                <w:kern w:val="0"/>
                <w:sz w:val="22"/>
                <w:szCs w:val="22"/>
                <w:u w:val="none"/>
                <w:lang w:val="en-US" w:eastAsia="zh-CN" w:bidi="ar"/>
              </w:rPr>
              <w:t>68</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46.</w:t>
            </w:r>
            <w:r>
              <w:rPr>
                <w:rFonts w:hint="eastAsia" w:ascii="Times New Roman" w:hAnsi="Times New Roman" w:cs="Times New Roman"/>
                <w:i w:val="0"/>
                <w:iCs w:val="0"/>
                <w:color w:val="000000"/>
                <w:kern w:val="0"/>
                <w:sz w:val="22"/>
                <w:szCs w:val="22"/>
                <w:u w:val="none"/>
                <w:lang w:val="en-US" w:eastAsia="zh-CN" w:bidi="ar"/>
              </w:rPr>
              <w:t>69</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ascii="Times New Roman" w:hAnsi="Times New Roman" w:cs="Times New Roman"/>
                <w:i w:val="0"/>
                <w:iCs w:val="0"/>
                <w:color w:val="000000"/>
                <w:kern w:val="0"/>
                <w:sz w:val="22"/>
                <w:szCs w:val="22"/>
                <w:u w:val="none"/>
                <w:lang w:val="en-US" w:eastAsia="zh-CN" w:bidi="ar"/>
              </w:rPr>
              <w:t>4.69</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ascii="Times New Roman" w:hAnsi="Times New Roman" w:cs="Times New Roman"/>
                <w:i w:val="0"/>
                <w:iCs w:val="0"/>
                <w:color w:val="000000"/>
                <w:kern w:val="0"/>
                <w:sz w:val="22"/>
                <w:szCs w:val="22"/>
                <w:u w:val="none"/>
                <w:lang w:val="en-US" w:eastAsia="zh-CN" w:bidi="ar"/>
              </w:rPr>
              <w:t>3.51</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ascii="Times New Roman" w:hAnsi="Times New Roman" w:cs="Times New Roman"/>
                <w:i w:val="0"/>
                <w:iCs w:val="0"/>
                <w:color w:val="000000"/>
                <w:kern w:val="0"/>
                <w:sz w:val="22"/>
                <w:szCs w:val="22"/>
                <w:u w:val="none"/>
                <w:lang w:val="en-US" w:eastAsia="zh-CN" w:bidi="ar"/>
              </w:rPr>
              <w:t>2.71</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ascii="Times New Roman" w:hAnsi="Times New Roman" w:cs="Times New Roman"/>
                <w:i w:val="0"/>
                <w:iCs w:val="0"/>
                <w:color w:val="000000"/>
                <w:kern w:val="0"/>
                <w:sz w:val="22"/>
                <w:szCs w:val="22"/>
                <w:u w:val="none"/>
                <w:lang w:val="en-US" w:eastAsia="zh-CN" w:bidi="ar"/>
              </w:rPr>
              <w:t>2.14</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ascii="Times New Roman" w:hAnsi="Times New Roman" w:cs="Times New Roman"/>
                <w:i w:val="0"/>
                <w:iCs w:val="0"/>
                <w:color w:val="000000"/>
                <w:kern w:val="0"/>
                <w:sz w:val="22"/>
                <w:szCs w:val="22"/>
                <w:u w:val="none"/>
                <w:lang w:val="en-US" w:eastAsia="zh-CN" w:bidi="ar"/>
              </w:rPr>
              <w:t>1.67</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ascii="Times New Roman" w:hAnsi="Times New Roman" w:cs="Times New Roman"/>
                <w:i w:val="0"/>
                <w:iCs w:val="0"/>
                <w:color w:val="000000"/>
                <w:kern w:val="0"/>
                <w:sz w:val="22"/>
                <w:szCs w:val="22"/>
                <w:u w:val="none"/>
                <w:lang w:val="en-US" w:eastAsia="zh-CN" w:bidi="ar"/>
              </w:rPr>
              <w:t>1.34</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ascii="Times New Roman" w:hAnsi="Times New Roman" w:cs="Times New Roman"/>
                <w:i w:val="0"/>
                <w:iCs w:val="0"/>
                <w:color w:val="000000"/>
                <w:kern w:val="0"/>
                <w:sz w:val="22"/>
                <w:szCs w:val="22"/>
                <w:u w:val="none"/>
                <w:lang w:val="en-US" w:eastAsia="zh-CN" w:bidi="ar"/>
              </w:rPr>
              <w:t>1.11</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40.9</w:t>
            </w:r>
            <w:r>
              <w:rPr>
                <w:rFonts w:hint="eastAsia" w:ascii="Times New Roman" w:hAnsi="Times New Roman" w:cs="Times New Roman"/>
                <w:i w:val="0"/>
                <w:iCs w:val="0"/>
                <w:color w:val="000000"/>
                <w:kern w:val="0"/>
                <w:sz w:val="22"/>
                <w:szCs w:val="22"/>
                <w:u w:val="none"/>
                <w:lang w:val="en-US" w:eastAsia="zh-CN" w:bidi="ar"/>
              </w:rPr>
              <w:t>4</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restart"/>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eastAsia="zh-CN"/>
              </w:rPr>
            </w:pPr>
            <w:r>
              <w:rPr>
                <w:rFonts w:hint="default" w:ascii="Times New Roman" w:hAnsi="Times New Roman" w:cs="Times New Roman"/>
                <w:b w:val="0"/>
                <w:bCs/>
                <w:color w:val="auto"/>
                <w:kern w:val="0"/>
                <w:sz w:val="21"/>
                <w:szCs w:val="21"/>
                <w:lang w:eastAsia="zh-CN"/>
              </w:rPr>
              <w:t>2031年</w:t>
            </w:r>
          </w:p>
        </w:tc>
        <w:tc>
          <w:tcPr>
            <w:tcW w:w="346"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61.94</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57.44</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55.87</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54.99</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54.41</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53.95</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53.55</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53.21</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52.92</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52.67</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46"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52.4</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47.3</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45.22</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43.95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43.08</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42.45</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41.93</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41.55</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41.28</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41.09</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restart"/>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eastAsia="zh-CN"/>
              </w:rPr>
            </w:pPr>
            <w:r>
              <w:rPr>
                <w:rFonts w:hint="default" w:ascii="Times New Roman" w:hAnsi="Times New Roman" w:cs="Times New Roman"/>
                <w:b w:val="0"/>
                <w:bCs/>
                <w:color w:val="auto"/>
                <w:kern w:val="0"/>
                <w:sz w:val="21"/>
                <w:szCs w:val="21"/>
                <w:lang w:eastAsia="zh-CN"/>
              </w:rPr>
              <w:t>2039年</w:t>
            </w:r>
          </w:p>
        </w:tc>
        <w:tc>
          <w:tcPr>
            <w:tcW w:w="346"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62.48</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57.86</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56.19</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55.25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54.61</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54.12</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53.68</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53.32</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53.01</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52.75</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46" w:type="pc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52.98</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47.8</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45.65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44.32</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43.4</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42.72</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42.15</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41.74</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41.44</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41.22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restar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溪口村</w:t>
            </w:r>
          </w:p>
        </w:tc>
        <w:tc>
          <w:tcPr>
            <w:tcW w:w="315" w:type="pct"/>
            <w:vMerge w:val="restart"/>
            <w:tcBorders>
              <w:tl2br w:val="nil"/>
              <w:tr2bl w:val="nil"/>
            </w:tcBorders>
            <w:noWrap w:val="0"/>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eastAsia="zh-CN"/>
              </w:rPr>
              <w:t>2025年</w:t>
            </w: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61.24</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57.61</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56.27</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55.47</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54.9</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54.46</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54.1</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53.79</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53.53</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53.31</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51.44</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47.14</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45.48</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44.54</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43.93</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43.51</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43.21</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42.98</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42.81</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42.68</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restart"/>
            <w:tcBorders>
              <w:tl2br w:val="nil"/>
              <w:tr2bl w:val="nil"/>
            </w:tcBorders>
            <w:noWrap w:val="0"/>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eastAsia="zh-CN"/>
              </w:rPr>
              <w:t>2031年</w:t>
            </w: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61.86</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58.05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56.61</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55.75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55.13</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54.65</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54.26</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53.93</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53.66</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53.42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52.14</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47.71</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45.95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44.93</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44.26</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43.79</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43.44</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43.19</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42.99</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42.83</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restart"/>
            <w:tcBorders>
              <w:tl2br w:val="nil"/>
              <w:tr2bl w:val="nil"/>
            </w:tcBorders>
            <w:noWrap w:val="0"/>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eastAsia="zh-CN"/>
              </w:rPr>
              <w:t>2039年</w:t>
            </w: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62.37</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58.42</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56.9</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55.98</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55.33</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54.82</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54.41</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54.06</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53.77</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53.52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52.69</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48.18</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46.35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45.27</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44.54</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44.03</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43.65</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43.36</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43.14</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42.97</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restar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四合村</w:t>
            </w:r>
          </w:p>
        </w:tc>
        <w:tc>
          <w:tcPr>
            <w:tcW w:w="315" w:type="pct"/>
            <w:vMerge w:val="restart"/>
            <w:tcBorders>
              <w:tl2br w:val="nil"/>
              <w:tr2bl w:val="nil"/>
            </w:tcBorders>
            <w:noWrap w:val="0"/>
            <w:tcMar>
              <w:top w:w="15" w:type="dxa"/>
              <w:left w:w="15" w:type="dxa"/>
              <w:right w:w="15" w:type="dxa"/>
            </w:tcMar>
            <w:vAlign w:val="center"/>
          </w:tcPr>
          <w:p>
            <w:pPr>
              <w:autoSpaceDE w:val="0"/>
              <w:autoSpaceDN w:val="0"/>
              <w:ind w:left="0" w:leftChars="0" w:right="0" w:rightChars="0"/>
              <w:jc w:val="center"/>
              <w:rPr>
                <w:rFonts w:hint="default" w:ascii="Times New Roman" w:hAnsi="Times New Roman" w:eastAsia="宋体" w:cs="Times New Roman"/>
                <w:b w:val="0"/>
                <w:bCs/>
                <w:color w:val="auto"/>
                <w:kern w:val="0"/>
                <w:sz w:val="21"/>
                <w:szCs w:val="21"/>
                <w:lang w:val="zh-CN" w:eastAsia="zh-CN" w:bidi="zh-CN"/>
              </w:rPr>
            </w:pPr>
            <w:r>
              <w:rPr>
                <w:rFonts w:hint="default" w:ascii="Times New Roman" w:hAnsi="Times New Roman" w:cs="Times New Roman"/>
                <w:b w:val="0"/>
                <w:bCs/>
                <w:color w:val="auto"/>
                <w:kern w:val="0"/>
                <w:sz w:val="21"/>
                <w:szCs w:val="21"/>
                <w:lang w:eastAsia="zh-CN"/>
              </w:rPr>
              <w:t>2025年</w:t>
            </w:r>
          </w:p>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60.87</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56.43</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54.78</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53.9</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53.39</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53.1</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52.93</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52.86</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52.84</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52.85</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51.68</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47.32</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45.65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44.68</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44.03</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43.56</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43.2</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42.93</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42.71</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42.53</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restart"/>
            <w:tcBorders>
              <w:tl2br w:val="nil"/>
              <w:tr2bl w:val="nil"/>
            </w:tcBorders>
            <w:noWrap w:val="0"/>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eastAsia="zh-CN"/>
              </w:rPr>
              <w:t>2031年</w:t>
            </w: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61.58</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57.02</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55.27</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54.3</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53.72</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53.37</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53.16</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53.04</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52.98</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52.38</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47.88</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46.12</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45.08</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44.36</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43.84</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43.45</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43.14</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42.9</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42.69</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restart"/>
            <w:tcBorders>
              <w:tl2br w:val="nil"/>
              <w:tr2bl w:val="nil"/>
            </w:tcBorders>
            <w:noWrap w:val="0"/>
            <w:tcMar>
              <w:top w:w="15" w:type="dxa"/>
              <w:left w:w="15" w:type="dxa"/>
              <w:right w:w="15" w:type="dxa"/>
            </w:tcMar>
            <w:vAlign w:val="center"/>
          </w:tcPr>
          <w:p>
            <w:pPr>
              <w:autoSpaceDE w:val="0"/>
              <w:autoSpaceDN w:val="0"/>
              <w:ind w:left="0" w:leftChars="0" w:right="0" w:rightChars="0"/>
              <w:jc w:val="center"/>
              <w:rPr>
                <w:rFonts w:hint="default" w:ascii="Times New Roman" w:hAnsi="Times New Roman" w:eastAsia="宋体" w:cs="Times New Roman"/>
                <w:b w:val="0"/>
                <w:bCs/>
                <w:color w:val="auto"/>
                <w:kern w:val="0"/>
                <w:sz w:val="21"/>
                <w:szCs w:val="21"/>
                <w:lang w:val="zh-CN" w:eastAsia="zh-CN" w:bidi="zh-CN"/>
              </w:rPr>
            </w:pPr>
            <w:r>
              <w:rPr>
                <w:rFonts w:hint="default" w:ascii="Times New Roman" w:hAnsi="Times New Roman" w:cs="Times New Roman"/>
                <w:b w:val="0"/>
                <w:bCs/>
                <w:color w:val="auto"/>
                <w:kern w:val="0"/>
                <w:sz w:val="21"/>
                <w:szCs w:val="21"/>
                <w:lang w:eastAsia="zh-CN"/>
              </w:rPr>
              <w:t>2039年</w:t>
            </w: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62.15</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55.67</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54.64</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54.01</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53.61</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53.36</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53.21</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53.14</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53.1</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52.93</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48.35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46.52</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45.41</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44.65</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44.09</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43.67</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43.34</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43.07</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42.83</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restart"/>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临巴镇</w:t>
            </w:r>
          </w:p>
        </w:tc>
        <w:tc>
          <w:tcPr>
            <w:tcW w:w="315" w:type="pct"/>
            <w:vMerge w:val="restart"/>
            <w:tcBorders>
              <w:tl2br w:val="nil"/>
              <w:tr2bl w:val="nil"/>
            </w:tcBorders>
            <w:noWrap w:val="0"/>
            <w:tcMar>
              <w:top w:w="15" w:type="dxa"/>
              <w:left w:w="15" w:type="dxa"/>
              <w:right w:w="15" w:type="dxa"/>
            </w:tcMar>
            <w:vAlign w:val="center"/>
          </w:tcPr>
          <w:p>
            <w:pPr>
              <w:autoSpaceDE w:val="0"/>
              <w:autoSpaceDN w:val="0"/>
              <w:ind w:left="0" w:leftChars="0" w:right="0" w:rightChars="0"/>
              <w:jc w:val="center"/>
              <w:rPr>
                <w:rFonts w:hint="default" w:ascii="Times New Roman" w:hAnsi="Times New Roman" w:eastAsia="宋体" w:cs="Times New Roman"/>
                <w:b w:val="0"/>
                <w:bCs/>
                <w:color w:val="auto"/>
                <w:kern w:val="0"/>
                <w:sz w:val="21"/>
                <w:szCs w:val="21"/>
                <w:lang w:val="zh-CN" w:eastAsia="zh-CN" w:bidi="zh-CN"/>
              </w:rPr>
            </w:pPr>
            <w:r>
              <w:rPr>
                <w:rFonts w:hint="default" w:ascii="Times New Roman" w:hAnsi="Times New Roman" w:cs="Times New Roman"/>
                <w:b w:val="0"/>
                <w:bCs/>
                <w:color w:val="auto"/>
                <w:kern w:val="0"/>
                <w:sz w:val="21"/>
                <w:szCs w:val="21"/>
                <w:lang w:eastAsia="zh-CN"/>
              </w:rPr>
              <w:t>2025年</w:t>
            </w:r>
          </w:p>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60.93</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58.19</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57.4</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56.97</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56.69</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56.48</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56.3</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56.16</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56.04</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55.94</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50.84</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47.37</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46.14</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45.35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44.78</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44.35</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44.02</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43.77</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43.56</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43.4</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restart"/>
            <w:tcBorders>
              <w:tl2br w:val="nil"/>
              <w:tr2bl w:val="nil"/>
            </w:tcBorders>
            <w:noWrap w:val="0"/>
            <w:tcMar>
              <w:top w:w="15" w:type="dxa"/>
              <w:left w:w="15" w:type="dxa"/>
              <w:right w:w="15" w:type="dxa"/>
            </w:tcMar>
            <w:vAlign w:val="center"/>
          </w:tcPr>
          <w:p>
            <w:pPr>
              <w:autoSpaceDE w:val="0"/>
              <w:autoSpaceDN w:val="0"/>
              <w:ind w:left="0" w:leftChars="0" w:right="0" w:rightChars="0"/>
              <w:jc w:val="center"/>
              <w:rPr>
                <w:rFonts w:hint="default" w:ascii="Times New Roman" w:hAnsi="Times New Roman" w:eastAsia="宋体" w:cs="Times New Roman"/>
                <w:b w:val="0"/>
                <w:bCs/>
                <w:color w:val="auto"/>
                <w:kern w:val="0"/>
                <w:sz w:val="21"/>
                <w:szCs w:val="21"/>
                <w:lang w:val="zh-CN" w:eastAsia="zh-CN" w:bidi="zh-CN"/>
              </w:rPr>
            </w:pPr>
            <w:r>
              <w:rPr>
                <w:rFonts w:hint="default" w:ascii="Times New Roman" w:hAnsi="Times New Roman" w:cs="Times New Roman"/>
                <w:b w:val="0"/>
                <w:bCs/>
                <w:color w:val="auto"/>
                <w:kern w:val="0"/>
                <w:sz w:val="21"/>
                <w:szCs w:val="21"/>
                <w:lang w:eastAsia="zh-CN"/>
              </w:rPr>
              <w:t>2031年</w:t>
            </w:r>
          </w:p>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61.44</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58.43</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57.53</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57.06</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56.75</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56.52</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56.34</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56.19</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56.06</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55.96</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51.45</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47.7</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46.35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45.5</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44.89</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44.44</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44.09</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43.82</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43.61</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43.44</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restart"/>
            <w:tcBorders>
              <w:tl2br w:val="nil"/>
              <w:tr2bl w:val="nil"/>
            </w:tcBorders>
            <w:noWrap w:val="0"/>
            <w:tcMar>
              <w:top w:w="15" w:type="dxa"/>
              <w:left w:w="15" w:type="dxa"/>
              <w:right w:w="15" w:type="dxa"/>
            </w:tcMar>
            <w:vAlign w:val="center"/>
          </w:tcPr>
          <w:p>
            <w:pPr>
              <w:autoSpaceDE w:val="0"/>
              <w:autoSpaceDN w:val="0"/>
              <w:ind w:left="0" w:leftChars="0" w:right="0" w:rightChars="0"/>
              <w:jc w:val="center"/>
              <w:rPr>
                <w:rFonts w:hint="default" w:ascii="Times New Roman" w:hAnsi="Times New Roman" w:eastAsia="宋体" w:cs="Times New Roman"/>
                <w:b w:val="0"/>
                <w:bCs/>
                <w:color w:val="auto"/>
                <w:kern w:val="0"/>
                <w:sz w:val="21"/>
                <w:szCs w:val="21"/>
                <w:lang w:val="zh-CN" w:eastAsia="zh-CN" w:bidi="zh-CN"/>
              </w:rPr>
            </w:pPr>
            <w:r>
              <w:rPr>
                <w:rFonts w:hint="default" w:ascii="Times New Roman" w:hAnsi="Times New Roman" w:cs="Times New Roman"/>
                <w:b w:val="0"/>
                <w:bCs/>
                <w:color w:val="auto"/>
                <w:kern w:val="0"/>
                <w:sz w:val="21"/>
                <w:szCs w:val="21"/>
                <w:lang w:eastAsia="zh-CN"/>
              </w:rPr>
              <w:t>2039年</w:t>
            </w: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昼间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61.87</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58.64</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57.66</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57.14</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56.81</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56.56</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56.37</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56.22</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56.09</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55.97</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658" w:type="pct"/>
            <w:vMerge w:val="continue"/>
            <w:tcBorders>
              <w:tl2br w:val="nil"/>
              <w:tr2bl w:val="nil"/>
            </w:tcBorders>
            <w:noWrap/>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315" w:type="pct"/>
            <w:vMerge w:val="continue"/>
            <w:tcBorders>
              <w:tl2br w:val="nil"/>
              <w:tr2bl w:val="nil"/>
            </w:tcBorders>
            <w:noWrap w:val="0"/>
            <w:tcMar>
              <w:top w:w="15" w:type="dxa"/>
              <w:left w:w="15" w:type="dxa"/>
              <w:right w:w="15" w:type="dxa"/>
            </w:tcMar>
            <w:vAlign w:val="center"/>
          </w:tcPr>
          <w:p>
            <w:pPr>
              <w:autoSpaceDE w:val="0"/>
              <w:autoSpaceDN w:val="0"/>
              <w:jc w:val="center"/>
              <w:rPr>
                <w:rFonts w:hint="default" w:ascii="Times New Roman" w:hAnsi="Times New Roman" w:cs="Times New Roman"/>
                <w:b w:val="0"/>
                <w:bCs/>
                <w:color w:val="auto"/>
                <w:kern w:val="0"/>
                <w:sz w:val="21"/>
                <w:szCs w:val="21"/>
              </w:rPr>
            </w:pPr>
          </w:p>
        </w:tc>
        <w:tc>
          <w:tcPr>
            <w:tcW w:w="957" w:type="dxa"/>
            <w:tcBorders>
              <w:tl2br w:val="nil"/>
              <w:tr2bl w:val="nil"/>
            </w:tcBorders>
            <w:noWrap/>
            <w:tcMar>
              <w:top w:w="15" w:type="dxa"/>
              <w:left w:w="15" w:type="dxa"/>
              <w:right w:w="15" w:type="dxa"/>
            </w:tcMar>
            <w:vAlign w:val="center"/>
          </w:tcPr>
          <w:p>
            <w:pPr>
              <w:autoSpaceDE w:val="0"/>
              <w:autoSpaceDN w:val="0"/>
              <w:ind w:left="0" w:leftChars="0" w:right="0" w:right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夜间</w:t>
            </w:r>
          </w:p>
        </w:tc>
        <w:tc>
          <w:tcPr>
            <w:tcW w:w="1009"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51.95</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47.99</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46.54</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45.63</w:t>
            </w:r>
          </w:p>
        </w:tc>
        <w:tc>
          <w:tcPr>
            <w:tcW w:w="1015"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018"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44.52</w:t>
            </w:r>
          </w:p>
        </w:tc>
        <w:tc>
          <w:tcPr>
            <w:tcW w:w="1037"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44.15</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43.87</w:t>
            </w:r>
          </w:p>
        </w:tc>
        <w:tc>
          <w:tcPr>
            <w:tcW w:w="1012"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43.65</w:t>
            </w:r>
          </w:p>
        </w:tc>
        <w:tc>
          <w:tcPr>
            <w:tcW w:w="1023" w:type="dxa"/>
            <w:tcBorders>
              <w:tl2br w:val="nil"/>
              <w:tr2bl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43.48</w:t>
            </w:r>
          </w:p>
        </w:tc>
      </w:tr>
    </w:tbl>
    <w:p>
      <w:pPr>
        <w:keepNext w:val="0"/>
        <w:ind w:firstLine="0" w:firstLineChars="0"/>
        <w:outlineLvl w:val="9"/>
        <w:rPr>
          <w:rFonts w:hint="default" w:ascii="Times New Roman" w:hAnsi="Times New Roman" w:cs="Times New Roman"/>
          <w:b w:val="0"/>
          <w:bCs/>
          <w:szCs w:val="21"/>
        </w:rPr>
      </w:pPr>
    </w:p>
    <w:p>
      <w:pPr>
        <w:autoSpaceDE w:val="0"/>
        <w:autoSpaceDN w:val="0"/>
        <w:adjustRightInd w:val="0"/>
        <w:snapToGrid w:val="0"/>
        <w:spacing w:line="360" w:lineRule="auto"/>
        <w:rPr>
          <w:rFonts w:hint="default" w:ascii="Times New Roman" w:hAnsi="Times New Roman" w:eastAsia="宋体" w:cs="Times New Roman"/>
          <w:b w:val="0"/>
          <w:bCs w:val="0"/>
          <w:sz w:val="24"/>
          <w:szCs w:val="24"/>
          <w:lang w:val="en-US" w:eastAsia="zh-CN" w:bidi="zh-CN"/>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p>
    <w:p>
      <w:pPr>
        <w:pStyle w:val="2"/>
        <w:rPr>
          <w:rFonts w:hint="default"/>
          <w:lang w:val="en-US" w:eastAsia="zh-CN"/>
        </w:rPr>
      </w:pPr>
    </w:p>
    <w:p>
      <w:pPr>
        <w:pStyle w:val="2"/>
        <w:rPr>
          <w:rFonts w:hint="default" w:ascii="Times New Roman" w:hAnsi="Times New Roman" w:eastAsia="宋体" w:cs="Times New Roman"/>
          <w:b w:val="0"/>
          <w:bCs w:val="0"/>
          <w:sz w:val="24"/>
          <w:szCs w:val="24"/>
          <w:lang w:val="en-US" w:eastAsia="zh-CN" w:bidi="zh-CN"/>
        </w:r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0"/>
        <w:gridCol w:w="4"/>
        <w:gridCol w:w="6"/>
        <w:gridCol w:w="6"/>
        <w:gridCol w:w="14"/>
        <w:gridCol w:w="11"/>
        <w:gridCol w:w="7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4735" w:type="dxa"/>
            <w:gridSpan w:val="7"/>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近期噪声等声级线示意图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411" w:type="dxa"/>
            <w:gridSpan w:val="6"/>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24" w:type="dxa"/>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0" w:hRule="exact"/>
        </w:trPr>
        <w:tc>
          <w:tcPr>
            <w:tcW w:w="7411" w:type="dxa"/>
            <w:gridSpan w:val="6"/>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678680" cy="3262630"/>
                  <wp:effectExtent l="0" t="0" r="7620" b="13970"/>
                  <wp:docPr id="37" name="图片 37" descr="20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3-1-4"/>
                          <pic:cNvPicPr>
                            <a:picLocks noChangeAspect="1"/>
                          </pic:cNvPicPr>
                        </pic:nvPicPr>
                        <pic:blipFill>
                          <a:blip r:embed="rId104"/>
                          <a:stretch>
                            <a:fillRect/>
                          </a:stretch>
                        </pic:blipFill>
                        <pic:spPr>
                          <a:xfrm>
                            <a:off x="0" y="0"/>
                            <a:ext cx="4678680" cy="3262630"/>
                          </a:xfrm>
                          <a:prstGeom prst="rect">
                            <a:avLst/>
                          </a:prstGeom>
                        </pic:spPr>
                      </pic:pic>
                    </a:graphicData>
                  </a:graphic>
                </wp:inline>
              </w:drawing>
            </w:r>
          </w:p>
        </w:tc>
        <w:tc>
          <w:tcPr>
            <w:tcW w:w="7324"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627245" cy="3215005"/>
                  <wp:effectExtent l="0" t="0" r="1905" b="4445"/>
                  <wp:docPr id="38" name="图片 38" descr="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3-2-4"/>
                          <pic:cNvPicPr>
                            <a:picLocks noChangeAspect="1"/>
                          </pic:cNvPicPr>
                        </pic:nvPicPr>
                        <pic:blipFill>
                          <a:blip r:embed="rId105"/>
                          <a:stretch>
                            <a:fillRect/>
                          </a:stretch>
                        </pic:blipFill>
                        <pic:spPr>
                          <a:xfrm>
                            <a:off x="0" y="0"/>
                            <a:ext cx="4627245" cy="32150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福善村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近期噪声等声级线示意图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399" w:type="dxa"/>
            <w:gridSpan w:val="5"/>
            <w:vAlign w:val="center"/>
          </w:tcPr>
          <w:p>
            <w:pPr>
              <w:ind w:left="0" w:leftChars="0" w:right="0" w:rightChars="0"/>
              <w:jc w:val="center"/>
              <w:rPr>
                <w:rFonts w:hint="default" w:ascii="Times New Roman" w:hAnsi="Times New Roman" w:eastAsia="宋体" w:cs="Times New Roman"/>
                <w:sz w:val="24"/>
                <w:szCs w:val="22"/>
                <w:vertAlign w:val="baseline"/>
                <w:lang w:val="en-US" w:eastAsia="zh-CN" w:bidi="zh-CN"/>
              </w:rPr>
            </w:pPr>
            <w:r>
              <w:rPr>
                <w:rFonts w:hint="default" w:ascii="Times New Roman" w:hAnsi="Times New Roman" w:cs="Times New Roman"/>
                <w:vertAlign w:val="baseline"/>
                <w:lang w:val="en-US" w:eastAsia="zh-CN"/>
              </w:rPr>
              <w:t>昼间</w:t>
            </w:r>
          </w:p>
        </w:tc>
        <w:tc>
          <w:tcPr>
            <w:tcW w:w="7336" w:type="dxa"/>
            <w:gridSpan w:val="2"/>
            <w:vAlign w:val="center"/>
          </w:tcPr>
          <w:p>
            <w:pPr>
              <w:ind w:left="0" w:leftChars="0" w:right="0" w:rightChars="0"/>
              <w:jc w:val="center"/>
              <w:rPr>
                <w:rFonts w:hint="default" w:ascii="Times New Roman" w:hAnsi="Times New Roman" w:eastAsia="宋体" w:cs="Times New Roman"/>
                <w:sz w:val="24"/>
                <w:szCs w:val="22"/>
                <w:vertAlign w:val="baseline"/>
                <w:lang w:val="en-US" w:eastAsia="zh-CN" w:bidi="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5" w:hRule="exact"/>
        </w:trPr>
        <w:tc>
          <w:tcPr>
            <w:tcW w:w="7411" w:type="dxa"/>
            <w:gridSpan w:val="6"/>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45330" cy="3105785"/>
                  <wp:effectExtent l="0" t="0" r="7620" b="18415"/>
                  <wp:docPr id="39" name="图片 39" descr="20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3-1-3"/>
                          <pic:cNvPicPr>
                            <a:picLocks noChangeAspect="1"/>
                          </pic:cNvPicPr>
                        </pic:nvPicPr>
                        <pic:blipFill>
                          <a:blip r:embed="rId106"/>
                          <a:stretch>
                            <a:fillRect/>
                          </a:stretch>
                        </pic:blipFill>
                        <pic:spPr>
                          <a:xfrm>
                            <a:off x="0" y="0"/>
                            <a:ext cx="4545330" cy="3105785"/>
                          </a:xfrm>
                          <a:prstGeom prst="rect">
                            <a:avLst/>
                          </a:prstGeom>
                        </pic:spPr>
                      </pic:pic>
                    </a:graphicData>
                  </a:graphic>
                </wp:inline>
              </w:drawing>
            </w:r>
          </w:p>
        </w:tc>
        <w:tc>
          <w:tcPr>
            <w:tcW w:w="7324" w:type="dxa"/>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28820" cy="3070860"/>
                  <wp:effectExtent l="0" t="0" r="5080" b="15240"/>
                  <wp:docPr id="40" name="图片 40" descr="20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3-2-3"/>
                          <pic:cNvPicPr>
                            <a:picLocks noChangeAspect="1"/>
                          </pic:cNvPicPr>
                        </pic:nvPicPr>
                        <pic:blipFill>
                          <a:blip r:embed="rId107"/>
                          <a:stretch>
                            <a:fillRect/>
                          </a:stretch>
                        </pic:blipFill>
                        <pic:spPr>
                          <a:xfrm>
                            <a:off x="0" y="0"/>
                            <a:ext cx="4528820" cy="3070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5" w:type="dxa"/>
            <w:gridSpan w:val="7"/>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cs="Times New Roman"/>
                <w:vertAlign w:val="baseline"/>
                <w:lang w:val="en-US" w:eastAsia="zh-CN"/>
              </w:rPr>
              <w:t>溪口村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4735" w:type="dxa"/>
            <w:gridSpan w:val="7"/>
            <w:vAlign w:val="center"/>
          </w:tcPr>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近期噪声等声级线示意图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411" w:type="dxa"/>
            <w:gridSpan w:val="6"/>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24" w:type="dxa"/>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2" w:hRule="exact"/>
        </w:trPr>
        <w:tc>
          <w:tcPr>
            <w:tcW w:w="7411" w:type="dxa"/>
            <w:gridSpan w:val="6"/>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44695" cy="3138805"/>
                  <wp:effectExtent l="0" t="0" r="8255" b="4445"/>
                  <wp:docPr id="41" name="图片 41" descr="2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3-1-2"/>
                          <pic:cNvPicPr>
                            <a:picLocks noChangeAspect="1"/>
                          </pic:cNvPicPr>
                        </pic:nvPicPr>
                        <pic:blipFill>
                          <a:blip r:embed="rId108"/>
                          <a:stretch>
                            <a:fillRect/>
                          </a:stretch>
                        </pic:blipFill>
                        <pic:spPr>
                          <a:xfrm>
                            <a:off x="0" y="0"/>
                            <a:ext cx="4544695" cy="3138805"/>
                          </a:xfrm>
                          <a:prstGeom prst="rect">
                            <a:avLst/>
                          </a:prstGeom>
                        </pic:spPr>
                      </pic:pic>
                    </a:graphicData>
                  </a:graphic>
                </wp:inline>
              </w:drawing>
            </w:r>
          </w:p>
        </w:tc>
        <w:tc>
          <w:tcPr>
            <w:tcW w:w="7324" w:type="dxa"/>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30090" cy="3105150"/>
                  <wp:effectExtent l="0" t="0" r="3810" b="0"/>
                  <wp:docPr id="42" name="图片 42" descr="20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3-2-2"/>
                          <pic:cNvPicPr>
                            <a:picLocks noChangeAspect="1"/>
                          </pic:cNvPicPr>
                        </pic:nvPicPr>
                        <pic:blipFill>
                          <a:blip r:embed="rId109"/>
                          <a:stretch>
                            <a:fillRect/>
                          </a:stretch>
                        </pic:blipFill>
                        <pic:spPr>
                          <a:xfrm>
                            <a:off x="0" y="0"/>
                            <a:ext cx="4530090" cy="3105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四合村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近期噪声等声级线示意图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411" w:type="dxa"/>
            <w:gridSpan w:val="6"/>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24" w:type="dxa"/>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7" w:hRule="exact"/>
        </w:trPr>
        <w:tc>
          <w:tcPr>
            <w:tcW w:w="7411" w:type="dxa"/>
            <w:gridSpan w:val="6"/>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50410" cy="3127375"/>
                  <wp:effectExtent l="0" t="0" r="2540" b="15875"/>
                  <wp:docPr id="43" name="图片 43" descr="20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23-1-1"/>
                          <pic:cNvPicPr>
                            <a:picLocks noChangeAspect="1"/>
                          </pic:cNvPicPr>
                        </pic:nvPicPr>
                        <pic:blipFill>
                          <a:blip r:embed="rId110"/>
                          <a:stretch>
                            <a:fillRect/>
                          </a:stretch>
                        </pic:blipFill>
                        <pic:spPr>
                          <a:xfrm>
                            <a:off x="0" y="0"/>
                            <a:ext cx="4550410" cy="3127375"/>
                          </a:xfrm>
                          <a:prstGeom prst="rect">
                            <a:avLst/>
                          </a:prstGeom>
                        </pic:spPr>
                      </pic:pic>
                    </a:graphicData>
                  </a:graphic>
                </wp:inline>
              </w:drawing>
            </w:r>
          </w:p>
        </w:tc>
        <w:tc>
          <w:tcPr>
            <w:tcW w:w="7324" w:type="dxa"/>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30090" cy="3130550"/>
                  <wp:effectExtent l="0" t="0" r="3810" b="12700"/>
                  <wp:docPr id="45" name="图片 45" descr="20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3-2-1"/>
                          <pic:cNvPicPr>
                            <a:picLocks noChangeAspect="1"/>
                          </pic:cNvPicPr>
                        </pic:nvPicPr>
                        <pic:blipFill>
                          <a:blip r:embed="rId111"/>
                          <a:stretch>
                            <a:fillRect/>
                          </a:stretch>
                        </pic:blipFill>
                        <pic:spPr>
                          <a:xfrm>
                            <a:off x="0" y="0"/>
                            <a:ext cx="4530090" cy="3130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5" w:type="dxa"/>
            <w:gridSpan w:val="7"/>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cs="Times New Roman"/>
                <w:vertAlign w:val="baseline"/>
                <w:lang w:val="en-US" w:eastAsia="zh-CN"/>
              </w:rPr>
              <w:t>临巴镇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4735" w:type="dxa"/>
            <w:gridSpan w:val="7"/>
            <w:vAlign w:val="center"/>
          </w:tcPr>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中期噪声等声级线示意图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411" w:type="dxa"/>
            <w:gridSpan w:val="6"/>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24" w:type="dxa"/>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7" w:hRule="exact"/>
        </w:trPr>
        <w:tc>
          <w:tcPr>
            <w:tcW w:w="7411" w:type="dxa"/>
            <w:gridSpan w:val="6"/>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44695" cy="3101975"/>
                  <wp:effectExtent l="0" t="0" r="8255" b="3175"/>
                  <wp:docPr id="46" name="图片 46" descr="20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29-1-4"/>
                          <pic:cNvPicPr>
                            <a:picLocks noChangeAspect="1"/>
                          </pic:cNvPicPr>
                        </pic:nvPicPr>
                        <pic:blipFill>
                          <a:blip r:embed="rId112"/>
                          <a:stretch>
                            <a:fillRect/>
                          </a:stretch>
                        </pic:blipFill>
                        <pic:spPr>
                          <a:xfrm>
                            <a:off x="0" y="0"/>
                            <a:ext cx="4544695" cy="3101975"/>
                          </a:xfrm>
                          <a:prstGeom prst="rect">
                            <a:avLst/>
                          </a:prstGeom>
                        </pic:spPr>
                      </pic:pic>
                    </a:graphicData>
                  </a:graphic>
                </wp:inline>
              </w:drawing>
            </w:r>
          </w:p>
        </w:tc>
        <w:tc>
          <w:tcPr>
            <w:tcW w:w="7324" w:type="dxa"/>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31360" cy="3121025"/>
                  <wp:effectExtent l="0" t="0" r="2540" b="3175"/>
                  <wp:docPr id="50" name="图片 50" descr="20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29-2-4"/>
                          <pic:cNvPicPr>
                            <a:picLocks noChangeAspect="1"/>
                          </pic:cNvPicPr>
                        </pic:nvPicPr>
                        <pic:blipFill>
                          <a:blip r:embed="rId113"/>
                          <a:stretch>
                            <a:fillRect/>
                          </a:stretch>
                        </pic:blipFill>
                        <pic:spPr>
                          <a:xfrm>
                            <a:off x="0" y="0"/>
                            <a:ext cx="4531360" cy="3121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福善村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中期噪声等声级线示意图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385" w:type="dxa"/>
            <w:gridSpan w:val="4"/>
            <w:vAlign w:val="center"/>
          </w:tcPr>
          <w:p>
            <w:pPr>
              <w:ind w:left="0" w:leftChars="0" w:right="0" w:rightChars="0"/>
              <w:jc w:val="center"/>
              <w:rPr>
                <w:rFonts w:hint="default" w:ascii="Times New Roman" w:hAnsi="Times New Roman" w:eastAsia="宋体" w:cs="Times New Roman"/>
                <w:sz w:val="24"/>
                <w:szCs w:val="22"/>
                <w:vertAlign w:val="baseline"/>
                <w:lang w:val="en-US" w:eastAsia="zh-CN" w:bidi="zh-CN"/>
              </w:rPr>
            </w:pPr>
            <w:r>
              <w:rPr>
                <w:rFonts w:hint="default" w:ascii="Times New Roman" w:hAnsi="Times New Roman" w:cs="Times New Roman"/>
                <w:vertAlign w:val="baseline"/>
                <w:lang w:val="en-US" w:eastAsia="zh-CN"/>
              </w:rPr>
              <w:t>昼间</w:t>
            </w:r>
          </w:p>
        </w:tc>
        <w:tc>
          <w:tcPr>
            <w:tcW w:w="7350" w:type="dxa"/>
            <w:gridSpan w:val="3"/>
            <w:vAlign w:val="center"/>
          </w:tcPr>
          <w:p>
            <w:pPr>
              <w:ind w:left="0" w:leftChars="0" w:right="0" w:rightChars="0"/>
              <w:jc w:val="center"/>
              <w:rPr>
                <w:rFonts w:hint="default" w:ascii="Times New Roman" w:hAnsi="Times New Roman" w:eastAsia="宋体" w:cs="Times New Roman"/>
                <w:sz w:val="24"/>
                <w:szCs w:val="22"/>
                <w:vertAlign w:val="baseline"/>
                <w:lang w:val="en-US" w:eastAsia="zh-CN" w:bidi="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6" w:hRule="exact"/>
        </w:trPr>
        <w:tc>
          <w:tcPr>
            <w:tcW w:w="7411" w:type="dxa"/>
            <w:gridSpan w:val="6"/>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47870" cy="3150870"/>
                  <wp:effectExtent l="0" t="0" r="5080" b="11430"/>
                  <wp:docPr id="47" name="图片 47" descr="20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29-1-3"/>
                          <pic:cNvPicPr>
                            <a:picLocks noChangeAspect="1"/>
                          </pic:cNvPicPr>
                        </pic:nvPicPr>
                        <pic:blipFill>
                          <a:blip r:embed="rId114"/>
                          <a:stretch>
                            <a:fillRect/>
                          </a:stretch>
                        </pic:blipFill>
                        <pic:spPr>
                          <a:xfrm>
                            <a:off x="0" y="0"/>
                            <a:ext cx="4547870" cy="3150870"/>
                          </a:xfrm>
                          <a:prstGeom prst="rect">
                            <a:avLst/>
                          </a:prstGeom>
                        </pic:spPr>
                      </pic:pic>
                    </a:graphicData>
                  </a:graphic>
                </wp:inline>
              </w:drawing>
            </w:r>
          </w:p>
        </w:tc>
        <w:tc>
          <w:tcPr>
            <w:tcW w:w="7324" w:type="dxa"/>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28185" cy="3097530"/>
                  <wp:effectExtent l="0" t="0" r="5715" b="7620"/>
                  <wp:docPr id="51" name="图片 51" descr="20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029-2-3"/>
                          <pic:cNvPicPr>
                            <a:picLocks noChangeAspect="1"/>
                          </pic:cNvPicPr>
                        </pic:nvPicPr>
                        <pic:blipFill>
                          <a:blip r:embed="rId115"/>
                          <a:stretch>
                            <a:fillRect/>
                          </a:stretch>
                        </pic:blipFill>
                        <pic:spPr>
                          <a:xfrm>
                            <a:off x="0" y="0"/>
                            <a:ext cx="4528185" cy="3097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5" w:type="dxa"/>
            <w:gridSpan w:val="7"/>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cs="Times New Roman"/>
                <w:vertAlign w:val="baseline"/>
                <w:lang w:val="en-US" w:eastAsia="zh-CN"/>
              </w:rPr>
              <w:t>溪口村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4735" w:type="dxa"/>
            <w:gridSpan w:val="7"/>
            <w:vAlign w:val="center"/>
          </w:tcPr>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中期噪声等声级线示意图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411" w:type="dxa"/>
            <w:gridSpan w:val="6"/>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24" w:type="dxa"/>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0" w:hRule="exact"/>
        </w:trPr>
        <w:tc>
          <w:tcPr>
            <w:tcW w:w="7411" w:type="dxa"/>
            <w:gridSpan w:val="6"/>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45965" cy="3173095"/>
                  <wp:effectExtent l="0" t="0" r="6985" b="8255"/>
                  <wp:docPr id="48" name="图片 48" descr="20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9-1-2"/>
                          <pic:cNvPicPr>
                            <a:picLocks noChangeAspect="1"/>
                          </pic:cNvPicPr>
                        </pic:nvPicPr>
                        <pic:blipFill>
                          <a:blip r:embed="rId116"/>
                          <a:stretch>
                            <a:fillRect/>
                          </a:stretch>
                        </pic:blipFill>
                        <pic:spPr>
                          <a:xfrm>
                            <a:off x="0" y="0"/>
                            <a:ext cx="4545965" cy="3173095"/>
                          </a:xfrm>
                          <a:prstGeom prst="rect">
                            <a:avLst/>
                          </a:prstGeom>
                        </pic:spPr>
                      </pic:pic>
                    </a:graphicData>
                  </a:graphic>
                </wp:inline>
              </w:drawing>
            </w:r>
          </w:p>
        </w:tc>
        <w:tc>
          <w:tcPr>
            <w:tcW w:w="7324" w:type="dxa"/>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31995" cy="3126105"/>
                  <wp:effectExtent l="0" t="0" r="1905" b="17145"/>
                  <wp:docPr id="52" name="图片 52" descr="20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9-2-2"/>
                          <pic:cNvPicPr>
                            <a:picLocks noChangeAspect="1"/>
                          </pic:cNvPicPr>
                        </pic:nvPicPr>
                        <pic:blipFill>
                          <a:blip r:embed="rId117"/>
                          <a:stretch>
                            <a:fillRect/>
                          </a:stretch>
                        </pic:blipFill>
                        <pic:spPr>
                          <a:xfrm>
                            <a:off x="0" y="0"/>
                            <a:ext cx="4531995" cy="31261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四合村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中期噪声等声级线示意图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379" w:type="dxa"/>
            <w:gridSpan w:val="3"/>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56" w:type="dxa"/>
            <w:gridSpan w:val="4"/>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2" w:hRule="exact"/>
        </w:trPr>
        <w:tc>
          <w:tcPr>
            <w:tcW w:w="7411" w:type="dxa"/>
            <w:gridSpan w:val="6"/>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44695" cy="3107055"/>
                  <wp:effectExtent l="0" t="0" r="8255" b="17145"/>
                  <wp:docPr id="49" name="图片 49" descr="2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29-1-1"/>
                          <pic:cNvPicPr>
                            <a:picLocks noChangeAspect="1"/>
                          </pic:cNvPicPr>
                        </pic:nvPicPr>
                        <pic:blipFill>
                          <a:blip r:embed="rId118"/>
                          <a:stretch>
                            <a:fillRect/>
                          </a:stretch>
                        </pic:blipFill>
                        <pic:spPr>
                          <a:xfrm>
                            <a:off x="0" y="0"/>
                            <a:ext cx="4544695" cy="3107055"/>
                          </a:xfrm>
                          <a:prstGeom prst="rect">
                            <a:avLst/>
                          </a:prstGeom>
                        </pic:spPr>
                      </pic:pic>
                    </a:graphicData>
                  </a:graphic>
                </wp:inline>
              </w:drawing>
            </w:r>
          </w:p>
        </w:tc>
        <w:tc>
          <w:tcPr>
            <w:tcW w:w="7324" w:type="dxa"/>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31360" cy="3140075"/>
                  <wp:effectExtent l="0" t="0" r="2540" b="3175"/>
                  <wp:docPr id="53" name="图片 53" descr="20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029-2-1"/>
                          <pic:cNvPicPr>
                            <a:picLocks noChangeAspect="1"/>
                          </pic:cNvPicPr>
                        </pic:nvPicPr>
                        <pic:blipFill>
                          <a:blip r:embed="rId119"/>
                          <a:stretch>
                            <a:fillRect/>
                          </a:stretch>
                        </pic:blipFill>
                        <pic:spPr>
                          <a:xfrm>
                            <a:off x="0" y="0"/>
                            <a:ext cx="4531360" cy="3140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5" w:type="dxa"/>
            <w:gridSpan w:val="7"/>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cs="Times New Roman"/>
                <w:vertAlign w:val="baseline"/>
                <w:lang w:val="en-US" w:eastAsia="zh-CN"/>
              </w:rPr>
              <w:t>临巴镇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4735" w:type="dxa"/>
            <w:gridSpan w:val="7"/>
            <w:vAlign w:val="center"/>
          </w:tcPr>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远期噪声等声级线示意图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411" w:type="dxa"/>
            <w:gridSpan w:val="6"/>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24" w:type="dxa"/>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2" w:hRule="exact"/>
        </w:trPr>
        <w:tc>
          <w:tcPr>
            <w:tcW w:w="7411" w:type="dxa"/>
            <w:gridSpan w:val="6"/>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50410" cy="3133725"/>
                  <wp:effectExtent l="0" t="0" r="2540" b="9525"/>
                  <wp:docPr id="54" name="图片 54" descr="20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37-1-4"/>
                          <pic:cNvPicPr>
                            <a:picLocks noChangeAspect="1"/>
                          </pic:cNvPicPr>
                        </pic:nvPicPr>
                        <pic:blipFill>
                          <a:blip r:embed="rId120"/>
                          <a:stretch>
                            <a:fillRect/>
                          </a:stretch>
                        </pic:blipFill>
                        <pic:spPr>
                          <a:xfrm>
                            <a:off x="0" y="0"/>
                            <a:ext cx="4550410" cy="3133725"/>
                          </a:xfrm>
                          <a:prstGeom prst="rect">
                            <a:avLst/>
                          </a:prstGeom>
                        </pic:spPr>
                      </pic:pic>
                    </a:graphicData>
                  </a:graphic>
                </wp:inline>
              </w:drawing>
            </w:r>
          </w:p>
        </w:tc>
        <w:tc>
          <w:tcPr>
            <w:tcW w:w="7324" w:type="dxa"/>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28820" cy="3096260"/>
                  <wp:effectExtent l="0" t="0" r="5080" b="8890"/>
                  <wp:docPr id="58" name="图片 58" descr="20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037-2-4"/>
                          <pic:cNvPicPr>
                            <a:picLocks noChangeAspect="1"/>
                          </pic:cNvPicPr>
                        </pic:nvPicPr>
                        <pic:blipFill>
                          <a:blip r:embed="rId121"/>
                          <a:stretch>
                            <a:fillRect/>
                          </a:stretch>
                        </pic:blipFill>
                        <pic:spPr>
                          <a:xfrm>
                            <a:off x="0" y="0"/>
                            <a:ext cx="4528820" cy="3096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福善村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中期噪声等声级线示意图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373" w:type="dxa"/>
            <w:gridSpan w:val="2"/>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62" w:type="dxa"/>
            <w:gridSpan w:val="5"/>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2" w:hRule="exact"/>
        </w:trPr>
        <w:tc>
          <w:tcPr>
            <w:tcW w:w="7411" w:type="dxa"/>
            <w:gridSpan w:val="6"/>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47870" cy="3094355"/>
                  <wp:effectExtent l="0" t="0" r="5080" b="10795"/>
                  <wp:docPr id="55" name="图片 55" descr="20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37-1-3"/>
                          <pic:cNvPicPr>
                            <a:picLocks noChangeAspect="1"/>
                          </pic:cNvPicPr>
                        </pic:nvPicPr>
                        <pic:blipFill>
                          <a:blip r:embed="rId122"/>
                          <a:stretch>
                            <a:fillRect/>
                          </a:stretch>
                        </pic:blipFill>
                        <pic:spPr>
                          <a:xfrm>
                            <a:off x="0" y="0"/>
                            <a:ext cx="4547870" cy="3094355"/>
                          </a:xfrm>
                          <a:prstGeom prst="rect">
                            <a:avLst/>
                          </a:prstGeom>
                        </pic:spPr>
                      </pic:pic>
                    </a:graphicData>
                  </a:graphic>
                </wp:inline>
              </w:drawing>
            </w:r>
          </w:p>
        </w:tc>
        <w:tc>
          <w:tcPr>
            <w:tcW w:w="7324" w:type="dxa"/>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30725" cy="3129280"/>
                  <wp:effectExtent l="0" t="0" r="3175" b="13970"/>
                  <wp:docPr id="59" name="图片 59" descr="20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37-2-3"/>
                          <pic:cNvPicPr>
                            <a:picLocks noChangeAspect="1"/>
                          </pic:cNvPicPr>
                        </pic:nvPicPr>
                        <pic:blipFill>
                          <a:blip r:embed="rId123"/>
                          <a:stretch>
                            <a:fillRect/>
                          </a:stretch>
                        </pic:blipFill>
                        <pic:spPr>
                          <a:xfrm>
                            <a:off x="0" y="0"/>
                            <a:ext cx="4530725" cy="31292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5" w:type="dxa"/>
            <w:gridSpan w:val="7"/>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cs="Times New Roman"/>
                <w:vertAlign w:val="baseline"/>
                <w:lang w:val="en-US" w:eastAsia="zh-CN"/>
              </w:rPr>
              <w:t>溪口村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4735" w:type="dxa"/>
            <w:gridSpan w:val="7"/>
            <w:vAlign w:val="center"/>
          </w:tcPr>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p>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远期噪声等声级线示意图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411" w:type="dxa"/>
            <w:gridSpan w:val="6"/>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24" w:type="dxa"/>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2" w:hRule="exact"/>
        </w:trPr>
        <w:tc>
          <w:tcPr>
            <w:tcW w:w="7411" w:type="dxa"/>
            <w:gridSpan w:val="6"/>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45965" cy="3135630"/>
                  <wp:effectExtent l="0" t="0" r="6985" b="7620"/>
                  <wp:docPr id="56" name="图片 56" descr="20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037-1-2"/>
                          <pic:cNvPicPr>
                            <a:picLocks noChangeAspect="1"/>
                          </pic:cNvPicPr>
                        </pic:nvPicPr>
                        <pic:blipFill>
                          <a:blip r:embed="rId124"/>
                          <a:stretch>
                            <a:fillRect/>
                          </a:stretch>
                        </pic:blipFill>
                        <pic:spPr>
                          <a:xfrm>
                            <a:off x="0" y="0"/>
                            <a:ext cx="4545965" cy="3135630"/>
                          </a:xfrm>
                          <a:prstGeom prst="rect">
                            <a:avLst/>
                          </a:prstGeom>
                        </pic:spPr>
                      </pic:pic>
                    </a:graphicData>
                  </a:graphic>
                </wp:inline>
              </w:drawing>
            </w:r>
          </w:p>
        </w:tc>
        <w:tc>
          <w:tcPr>
            <w:tcW w:w="7324" w:type="dxa"/>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eastAsia="宋体" w:cs="Times New Roman"/>
                <w:sz w:val="22"/>
                <w:szCs w:val="22"/>
                <w:vertAlign w:val="baseline"/>
                <w:lang w:val="en-US" w:eastAsia="zh-CN" w:bidi="zh-CN"/>
              </w:rPr>
              <w:drawing>
                <wp:inline distT="0" distB="0" distL="114300" distR="114300">
                  <wp:extent cx="4531360" cy="3114675"/>
                  <wp:effectExtent l="0" t="0" r="2540" b="9525"/>
                  <wp:docPr id="60" name="图片 60" descr="20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37-2-2"/>
                          <pic:cNvPicPr>
                            <a:picLocks noChangeAspect="1"/>
                          </pic:cNvPicPr>
                        </pic:nvPicPr>
                        <pic:blipFill>
                          <a:blip r:embed="rId125"/>
                          <a:stretch>
                            <a:fillRect/>
                          </a:stretch>
                        </pic:blipFill>
                        <pic:spPr>
                          <a:xfrm>
                            <a:off x="0" y="0"/>
                            <a:ext cx="4531360" cy="31146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四合村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735" w:type="dxa"/>
            <w:gridSpan w:val="7"/>
            <w:vAlign w:val="center"/>
          </w:tcPr>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p>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远期噪声等声级线示意图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369" w:type="dxa"/>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昼间</w:t>
            </w:r>
          </w:p>
        </w:tc>
        <w:tc>
          <w:tcPr>
            <w:tcW w:w="7366" w:type="dxa"/>
            <w:gridSpan w:val="6"/>
            <w:vAlign w:val="center"/>
          </w:tcPr>
          <w:p>
            <w:pPr>
              <w:ind w:left="0" w:leftChars="0"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2" w:hRule="exact"/>
        </w:trPr>
        <w:tc>
          <w:tcPr>
            <w:tcW w:w="7411" w:type="dxa"/>
            <w:gridSpan w:val="6"/>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45330" cy="3117850"/>
                  <wp:effectExtent l="0" t="0" r="7620" b="6350"/>
                  <wp:docPr id="57" name="图片 57" descr="20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037-1-1"/>
                          <pic:cNvPicPr>
                            <a:picLocks noChangeAspect="1"/>
                          </pic:cNvPicPr>
                        </pic:nvPicPr>
                        <pic:blipFill>
                          <a:blip r:embed="rId126"/>
                          <a:stretch>
                            <a:fillRect/>
                          </a:stretch>
                        </pic:blipFill>
                        <pic:spPr>
                          <a:xfrm>
                            <a:off x="0" y="0"/>
                            <a:ext cx="4545330" cy="3117850"/>
                          </a:xfrm>
                          <a:prstGeom prst="rect">
                            <a:avLst/>
                          </a:prstGeom>
                        </pic:spPr>
                      </pic:pic>
                    </a:graphicData>
                  </a:graphic>
                </wp:inline>
              </w:drawing>
            </w:r>
          </w:p>
        </w:tc>
        <w:tc>
          <w:tcPr>
            <w:tcW w:w="7324" w:type="dxa"/>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4531360" cy="3127375"/>
                  <wp:effectExtent l="0" t="0" r="2540" b="15875"/>
                  <wp:docPr id="61" name="图片 61" descr="20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037-2-1"/>
                          <pic:cNvPicPr>
                            <a:picLocks noChangeAspect="1"/>
                          </pic:cNvPicPr>
                        </pic:nvPicPr>
                        <pic:blipFill>
                          <a:blip r:embed="rId127"/>
                          <a:stretch>
                            <a:fillRect/>
                          </a:stretch>
                        </pic:blipFill>
                        <pic:spPr>
                          <a:xfrm>
                            <a:off x="0" y="0"/>
                            <a:ext cx="4531360" cy="3127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5" w:type="dxa"/>
            <w:gridSpan w:val="7"/>
            <w:vAlign w:val="center"/>
          </w:tcPr>
          <w:p>
            <w:pPr>
              <w:ind w:left="0" w:leftChars="0" w:right="0" w:rightChars="0"/>
              <w:jc w:val="center"/>
              <w:rPr>
                <w:rFonts w:hint="default" w:ascii="Times New Roman" w:hAnsi="Times New Roman" w:eastAsia="宋体" w:cs="Times New Roman"/>
                <w:sz w:val="22"/>
                <w:szCs w:val="22"/>
                <w:vertAlign w:val="baseline"/>
                <w:lang w:val="en-US" w:eastAsia="zh-CN" w:bidi="zh-CN"/>
              </w:rPr>
            </w:pPr>
            <w:r>
              <w:rPr>
                <w:rFonts w:hint="default" w:ascii="Times New Roman" w:hAnsi="Times New Roman" w:cs="Times New Roman"/>
                <w:vertAlign w:val="baseline"/>
                <w:lang w:val="en-US" w:eastAsia="zh-CN"/>
              </w:rPr>
              <w:t>临巴镇</w:t>
            </w:r>
          </w:p>
        </w:tc>
      </w:tr>
    </w:tbl>
    <w:p>
      <w:pPr>
        <w:rPr>
          <w:rFonts w:hint="default" w:ascii="Times New Roman" w:hAnsi="Times New Roman" w:cs="Times New Roman"/>
          <w:lang w:val="en-US" w:eastAsia="zh-CN"/>
        </w:rPr>
        <w:sectPr>
          <w:pgSz w:w="16838" w:h="11911" w:orient="landscape"/>
          <w:pgMar w:top="879" w:right="1100" w:bottom="879" w:left="1219" w:header="873" w:footer="1020" w:gutter="0"/>
          <w:pgNumType w:fmt="decimal"/>
          <w:cols w:space="0" w:num="1"/>
          <w:rtlGutter w:val="0"/>
          <w:docGrid w:linePitch="0" w:charSpace="0"/>
        </w:sectPr>
      </w:pPr>
    </w:p>
    <w:p>
      <w:pPr>
        <w:pStyle w:val="2"/>
        <w:rPr>
          <w:rFonts w:hint="default" w:ascii="Times New Roman" w:hAnsi="Times New Roman" w:cs="Times New Roman"/>
          <w:lang w:val="en-US" w:eastAsia="zh-CN"/>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3）达标距离</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根据软件模拟预测结果可知，本工程的拟建道路的交通噪声在不同营运期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不同时段</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距路中心线不同距离的影响进行预测，预测结果见表</w:t>
      </w:r>
      <w:r>
        <w:rPr>
          <w:rFonts w:hint="eastAsia" w:ascii="Times New Roman" w:hAnsi="Times New Roman" w:cs="Times New Roman"/>
          <w:b w:val="0"/>
          <w:bCs w:val="0"/>
          <w:sz w:val="24"/>
          <w:szCs w:val="24"/>
          <w:lang w:val="en-US" w:eastAsia="zh-CN" w:bidi="zh-CN"/>
        </w:rPr>
        <w:t>4.4-20</w:t>
      </w:r>
      <w:r>
        <w:rPr>
          <w:rFonts w:hint="default" w:ascii="Times New Roman" w:hAnsi="Times New Roman" w:eastAsia="宋体" w:cs="Times New Roman"/>
          <w:b w:val="0"/>
          <w:bCs w:val="0"/>
          <w:sz w:val="24"/>
          <w:szCs w:val="24"/>
          <w:lang w:val="en-US" w:eastAsia="zh-CN" w:bidi="zh-CN"/>
        </w:rPr>
        <w:t>。</w:t>
      </w:r>
    </w:p>
    <w:p>
      <w:pPr>
        <w:ind w:firstLine="0" w:firstLineChars="0"/>
        <w:jc w:val="center"/>
        <w:rPr>
          <w:rFonts w:hint="default" w:ascii="Times New Roman" w:hAnsi="Times New Roman" w:cs="Times New Roman"/>
          <w:b/>
          <w:bCs/>
          <w:color w:val="auto"/>
          <w:sz w:val="21"/>
          <w:szCs w:val="21"/>
        </w:rPr>
      </w:pPr>
      <w:r>
        <w:rPr>
          <w:rFonts w:hint="eastAsia" w:ascii="Times New Roman" w:hAnsi="Times New Roman" w:cs="Times New Roman"/>
          <w:b/>
          <w:bCs w:val="0"/>
          <w:kern w:val="0"/>
          <w:sz w:val="21"/>
          <w:szCs w:val="21"/>
          <w:lang w:val="en-US" w:eastAsia="zh-CN"/>
        </w:rPr>
        <w:t>表4.4-20</w:t>
      </w:r>
      <w:r>
        <w:rPr>
          <w:rFonts w:hint="default" w:ascii="Times New Roman" w:hAnsi="Times New Roman" w:cs="Times New Roman"/>
          <w:b/>
          <w:bCs/>
          <w:color w:val="auto"/>
          <w:sz w:val="21"/>
          <w:szCs w:val="21"/>
        </w:rPr>
        <w:t xml:space="preserve">  道路各预测年距离道路</w:t>
      </w:r>
      <w:r>
        <w:rPr>
          <w:rFonts w:hint="default" w:ascii="Times New Roman" w:hAnsi="Times New Roman" w:cs="Times New Roman"/>
          <w:b/>
          <w:bCs/>
          <w:color w:val="auto"/>
          <w:sz w:val="21"/>
          <w:szCs w:val="21"/>
          <w:lang w:eastAsia="zh-CN"/>
        </w:rPr>
        <w:t>中心线</w:t>
      </w:r>
      <w:r>
        <w:rPr>
          <w:rFonts w:hint="default" w:ascii="Times New Roman" w:hAnsi="Times New Roman" w:cs="Times New Roman"/>
          <w:b/>
          <w:bCs/>
          <w:color w:val="auto"/>
          <w:sz w:val="21"/>
          <w:szCs w:val="21"/>
        </w:rPr>
        <w:t>的噪声达标距离</w:t>
      </w:r>
    </w:p>
    <w:tbl>
      <w:tblPr>
        <w:tblStyle w:val="18"/>
        <w:tblW w:w="47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710"/>
        <w:gridCol w:w="710"/>
        <w:gridCol w:w="710"/>
        <w:gridCol w:w="710"/>
        <w:gridCol w:w="710"/>
        <w:gridCol w:w="711"/>
        <w:gridCol w:w="711"/>
        <w:gridCol w:w="711"/>
        <w:gridCol w:w="711"/>
        <w:gridCol w:w="711"/>
        <w:gridCol w:w="711"/>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3" w:type="dxa"/>
            <w:vMerge w:val="restar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路段</w:t>
            </w:r>
          </w:p>
        </w:tc>
        <w:tc>
          <w:tcPr>
            <w:tcW w:w="6208" w:type="dxa"/>
            <w:gridSpan w:val="6"/>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昼间达标距离（距中心线）</w:t>
            </w:r>
          </w:p>
        </w:tc>
        <w:tc>
          <w:tcPr>
            <w:tcW w:w="6219" w:type="dxa"/>
            <w:gridSpan w:val="6"/>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夜间达标距离（距中心线）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3" w:type="dxa"/>
            <w:vMerge w:val="continue"/>
            <w:vAlign w:val="center"/>
          </w:tcPr>
          <w:p>
            <w:pPr>
              <w:jc w:val="center"/>
              <w:rPr>
                <w:rFonts w:hint="default" w:ascii="Times New Roman" w:hAnsi="Times New Roman" w:eastAsia="宋体" w:cs="Times New Roman"/>
                <w:sz w:val="21"/>
                <w:szCs w:val="21"/>
                <w:vertAlign w:val="baseline"/>
              </w:rPr>
            </w:pPr>
          </w:p>
        </w:tc>
        <w:tc>
          <w:tcPr>
            <w:tcW w:w="2067" w:type="dxa"/>
            <w:gridSpan w:val="2"/>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近期</w:t>
            </w:r>
          </w:p>
        </w:tc>
        <w:tc>
          <w:tcPr>
            <w:tcW w:w="2070" w:type="dxa"/>
            <w:gridSpan w:val="2"/>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中期</w:t>
            </w:r>
          </w:p>
        </w:tc>
        <w:tc>
          <w:tcPr>
            <w:tcW w:w="2071" w:type="dxa"/>
            <w:gridSpan w:val="2"/>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远期</w:t>
            </w:r>
          </w:p>
        </w:tc>
        <w:tc>
          <w:tcPr>
            <w:tcW w:w="2072" w:type="dxa"/>
            <w:gridSpan w:val="2"/>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近期</w:t>
            </w:r>
          </w:p>
        </w:tc>
        <w:tc>
          <w:tcPr>
            <w:tcW w:w="2073" w:type="dxa"/>
            <w:gridSpan w:val="2"/>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中期</w:t>
            </w:r>
          </w:p>
        </w:tc>
        <w:tc>
          <w:tcPr>
            <w:tcW w:w="2074" w:type="dxa"/>
            <w:gridSpan w:val="2"/>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3" w:type="dxa"/>
            <w:vMerge w:val="continue"/>
            <w:vAlign w:val="center"/>
          </w:tcPr>
          <w:p>
            <w:pPr>
              <w:jc w:val="center"/>
              <w:rPr>
                <w:rFonts w:hint="default" w:ascii="Times New Roman" w:hAnsi="Times New Roman" w:eastAsia="宋体" w:cs="Times New Roman"/>
                <w:sz w:val="21"/>
                <w:szCs w:val="21"/>
                <w:vertAlign w:val="baseline"/>
              </w:rPr>
            </w:pPr>
          </w:p>
        </w:tc>
        <w:tc>
          <w:tcPr>
            <w:tcW w:w="1033"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4a类</w:t>
            </w:r>
          </w:p>
        </w:tc>
        <w:tc>
          <w:tcPr>
            <w:tcW w:w="1034"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2类</w:t>
            </w:r>
          </w:p>
        </w:tc>
        <w:tc>
          <w:tcPr>
            <w:tcW w:w="1035"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4a类</w:t>
            </w:r>
          </w:p>
        </w:tc>
        <w:tc>
          <w:tcPr>
            <w:tcW w:w="1035"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2类</w:t>
            </w:r>
          </w:p>
        </w:tc>
        <w:tc>
          <w:tcPr>
            <w:tcW w:w="1035"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4a类</w:t>
            </w:r>
          </w:p>
        </w:tc>
        <w:tc>
          <w:tcPr>
            <w:tcW w:w="1036"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2类</w:t>
            </w:r>
          </w:p>
        </w:tc>
        <w:tc>
          <w:tcPr>
            <w:tcW w:w="1036"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4a类</w:t>
            </w:r>
          </w:p>
        </w:tc>
        <w:tc>
          <w:tcPr>
            <w:tcW w:w="1036"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2类</w:t>
            </w:r>
          </w:p>
        </w:tc>
        <w:tc>
          <w:tcPr>
            <w:tcW w:w="1036"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4a类</w:t>
            </w:r>
          </w:p>
        </w:tc>
        <w:tc>
          <w:tcPr>
            <w:tcW w:w="1037"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2类</w:t>
            </w:r>
          </w:p>
        </w:tc>
        <w:tc>
          <w:tcPr>
            <w:tcW w:w="1037"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4a类</w:t>
            </w:r>
          </w:p>
        </w:tc>
        <w:tc>
          <w:tcPr>
            <w:tcW w:w="1037" w:type="dxa"/>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3"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福善村</w:t>
            </w:r>
          </w:p>
        </w:tc>
        <w:tc>
          <w:tcPr>
            <w:tcW w:w="1033"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034"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1035"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035"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1035"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036"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1036"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036"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1036"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037"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1037"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037" w:type="dxa"/>
            <w:vAlign w:val="center"/>
          </w:tcPr>
          <w:p>
            <w:pPr>
              <w:ind w:left="0" w:leftChars="0" w:right="0"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3"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溪口村</w:t>
            </w:r>
          </w:p>
        </w:tc>
        <w:tc>
          <w:tcPr>
            <w:tcW w:w="1033"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034"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1035"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5"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c>
          <w:tcPr>
            <w:tcW w:w="1035"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6"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c>
          <w:tcPr>
            <w:tcW w:w="1036"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6"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c>
          <w:tcPr>
            <w:tcW w:w="1036"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7"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c>
          <w:tcPr>
            <w:tcW w:w="1037"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7"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3"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四合村</w:t>
            </w:r>
          </w:p>
        </w:tc>
        <w:tc>
          <w:tcPr>
            <w:tcW w:w="1033"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4"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c>
          <w:tcPr>
            <w:tcW w:w="1035"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5"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c>
          <w:tcPr>
            <w:tcW w:w="1035"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6"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c>
          <w:tcPr>
            <w:tcW w:w="1036"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6"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c>
          <w:tcPr>
            <w:tcW w:w="1036"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7"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c>
          <w:tcPr>
            <w:tcW w:w="1037"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＜20</w:t>
            </w:r>
          </w:p>
        </w:tc>
        <w:tc>
          <w:tcPr>
            <w:tcW w:w="1037" w:type="dxa"/>
            <w:vAlign w:val="center"/>
          </w:tcPr>
          <w:p>
            <w:pPr>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3"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临巴镇</w:t>
            </w:r>
          </w:p>
        </w:tc>
        <w:tc>
          <w:tcPr>
            <w:tcW w:w="1033"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5</w:t>
            </w:r>
          </w:p>
        </w:tc>
        <w:tc>
          <w:tcPr>
            <w:tcW w:w="1034"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48</w:t>
            </w:r>
          </w:p>
        </w:tc>
        <w:tc>
          <w:tcPr>
            <w:tcW w:w="1035"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6</w:t>
            </w:r>
          </w:p>
        </w:tc>
        <w:tc>
          <w:tcPr>
            <w:tcW w:w="1035"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50</w:t>
            </w:r>
          </w:p>
        </w:tc>
        <w:tc>
          <w:tcPr>
            <w:tcW w:w="1035"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7</w:t>
            </w:r>
          </w:p>
        </w:tc>
        <w:tc>
          <w:tcPr>
            <w:tcW w:w="1036"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56</w:t>
            </w:r>
          </w:p>
        </w:tc>
        <w:tc>
          <w:tcPr>
            <w:tcW w:w="1036"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16</w:t>
            </w:r>
          </w:p>
        </w:tc>
        <w:tc>
          <w:tcPr>
            <w:tcW w:w="1036"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36</w:t>
            </w:r>
          </w:p>
        </w:tc>
        <w:tc>
          <w:tcPr>
            <w:tcW w:w="1036"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10</w:t>
            </w:r>
          </w:p>
        </w:tc>
        <w:tc>
          <w:tcPr>
            <w:tcW w:w="1037"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38</w:t>
            </w:r>
          </w:p>
        </w:tc>
        <w:tc>
          <w:tcPr>
            <w:tcW w:w="1037"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7</w:t>
            </w:r>
          </w:p>
        </w:tc>
        <w:tc>
          <w:tcPr>
            <w:tcW w:w="1037" w:type="dxa"/>
            <w:vAlign w:val="center"/>
          </w:tcPr>
          <w:p>
            <w:pPr>
              <w:ind w:left="0" w:leftChars="0" w:right="0" w:rightChars="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48</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按照平路基和开阔地带（仅考虑距离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空气吸收及地面效应衰减的情况）进行计算</w:t>
      </w:r>
      <w:r>
        <w:rPr>
          <w:rFonts w:hint="default"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项目区位于丘陵</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低山区，丘陵中上部多为果园及林地覆盖，能够起到一定的屏蔽作用，实际达标距离要远小于表</w:t>
      </w:r>
      <w:r>
        <w:rPr>
          <w:rFonts w:hint="eastAsia" w:ascii="Times New Roman" w:hAnsi="Times New Roman" w:cs="Times New Roman"/>
          <w:b w:val="0"/>
          <w:bCs w:val="0"/>
          <w:sz w:val="24"/>
          <w:szCs w:val="24"/>
          <w:lang w:val="en-US" w:eastAsia="zh-CN" w:bidi="zh-CN"/>
        </w:rPr>
        <w:t>4.4-20</w:t>
      </w:r>
      <w:r>
        <w:rPr>
          <w:rFonts w:hint="default" w:ascii="Times New Roman" w:hAnsi="Times New Roman" w:eastAsia="宋体" w:cs="Times New Roman"/>
          <w:b w:val="0"/>
          <w:bCs w:val="0"/>
          <w:sz w:val="24"/>
          <w:szCs w:val="24"/>
          <w:lang w:val="en-US" w:eastAsia="zh-CN" w:bidi="zh-CN"/>
        </w:rPr>
        <w:t>估算。本次评价以200m（即评价范围）作为规划控制防护距离，噪声防护距离范围内，临路首排无遮挡情况下不宜规划疗养区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学校</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医院</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集中居民区等声环境敏感建筑， 可规划仓储等噪声不敏感建筑。 本次评价估算的结果仅作为沿线乡镇未来规划的宏观参考</w:t>
      </w:r>
      <w:r>
        <w:rPr>
          <w:rFonts w:hint="default"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地方规划部门实际规划过程中应结合实际地形地貌</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高差等情况或现场实测结果， 再行规划留出具体的防护距离。</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（2）居民敏感目标声环境影响预测</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敏感点环境噪声预测应考虑其所处路段及所对应的地面覆盖状况</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道路结构</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道路有限长声源</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地形地物等因素修正，由交通噪声预测值叠加相应声环境背景值得到。根据项目外环境关系图，本项目的预测敏感点主要是道路两侧的居民。敏感点噪声预测结果见下表。</w:t>
      </w:r>
    </w:p>
    <w:p>
      <w:pPr>
        <w:numPr>
          <w:ilvl w:val="-1"/>
          <w:numId w:val="0"/>
        </w:numPr>
        <w:tabs>
          <w:tab w:val="left" w:pos="0"/>
        </w:tabs>
        <w:autoSpaceDE w:val="0"/>
        <w:autoSpaceDN w:val="0"/>
        <w:adjustRightInd w:val="0"/>
        <w:ind w:left="0" w:leftChars="0" w:firstLine="0" w:firstLine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表4.4-21</w:t>
      </w:r>
      <w:r>
        <w:rPr>
          <w:rFonts w:hint="default" w:ascii="Times New Roman" w:hAnsi="Times New Roman" w:eastAsia="宋体" w:cs="Times New Roman"/>
          <w:b/>
          <w:bCs w:val="0"/>
          <w:kern w:val="0"/>
          <w:sz w:val="21"/>
          <w:szCs w:val="21"/>
          <w:lang w:val="en-US" w:eastAsia="zh-CN"/>
        </w:rPr>
        <w:t xml:space="preserve"> </w:t>
      </w:r>
      <w:r>
        <w:rPr>
          <w:rFonts w:hint="default" w:ascii="Times New Roman" w:hAnsi="Times New Roman" w:eastAsia="宋体" w:cs="Times New Roman"/>
          <w:b/>
          <w:bCs w:val="0"/>
          <w:kern w:val="0"/>
          <w:sz w:val="21"/>
          <w:szCs w:val="21"/>
        </w:rPr>
        <w:t>本项目</w:t>
      </w:r>
      <w:r>
        <w:rPr>
          <w:rFonts w:hint="default" w:ascii="Times New Roman" w:hAnsi="Times New Roman" w:cs="Times New Roman"/>
          <w:b/>
          <w:bCs w:val="0"/>
          <w:kern w:val="0"/>
          <w:sz w:val="21"/>
          <w:szCs w:val="21"/>
          <w:lang w:val="en-US" w:eastAsia="zh-CN"/>
        </w:rPr>
        <w:t>2025年</w:t>
      </w:r>
      <w:r>
        <w:rPr>
          <w:rFonts w:hint="default" w:ascii="Times New Roman" w:hAnsi="Times New Roman" w:eastAsia="宋体" w:cs="Times New Roman"/>
          <w:b/>
          <w:bCs w:val="0"/>
          <w:kern w:val="0"/>
          <w:sz w:val="21"/>
          <w:szCs w:val="21"/>
          <w:lang w:eastAsia="zh-CN"/>
        </w:rPr>
        <w:t>敏感点噪声预测结果</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16"/>
        <w:gridCol w:w="688"/>
        <w:gridCol w:w="540"/>
        <w:gridCol w:w="901"/>
        <w:gridCol w:w="923"/>
        <w:gridCol w:w="609"/>
        <w:gridCol w:w="591"/>
        <w:gridCol w:w="831"/>
        <w:gridCol w:w="1030"/>
        <w:gridCol w:w="661"/>
        <w:gridCol w:w="574"/>
        <w:gridCol w:w="470"/>
        <w:gridCol w:w="5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9"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敏感点名称</w:t>
            </w:r>
          </w:p>
        </w:tc>
        <w:tc>
          <w:tcPr>
            <w:tcW w:w="556"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距</w:t>
            </w:r>
            <w:r>
              <w:rPr>
                <w:rFonts w:hint="default" w:ascii="Times New Roman" w:hAnsi="Times New Roman" w:cs="Times New Roman"/>
                <w:b w:val="0"/>
                <w:bCs/>
                <w:kern w:val="0"/>
                <w:sz w:val="21"/>
                <w:szCs w:val="21"/>
                <w:highlight w:val="none"/>
                <w:lang w:eastAsia="zh-CN"/>
              </w:rPr>
              <w:t>道路</w:t>
            </w:r>
            <w:r>
              <w:rPr>
                <w:rFonts w:hint="default" w:ascii="Times New Roman" w:hAnsi="Times New Roman" w:cs="Times New Roman"/>
                <w:b w:val="0"/>
                <w:bCs/>
                <w:kern w:val="0"/>
                <w:sz w:val="21"/>
                <w:szCs w:val="21"/>
                <w:lang w:eastAsia="zh-CN"/>
              </w:rPr>
              <w:t>边界</w:t>
            </w:r>
            <w:r>
              <w:rPr>
                <w:rFonts w:hint="default" w:ascii="Times New Roman" w:hAnsi="Times New Roman" w:cs="Times New Roman"/>
                <w:b w:val="0"/>
                <w:bCs/>
                <w:kern w:val="0"/>
                <w:sz w:val="21"/>
                <w:szCs w:val="21"/>
              </w:rPr>
              <w:t>距离（m）</w:t>
            </w:r>
          </w:p>
        </w:tc>
        <w:tc>
          <w:tcPr>
            <w:tcW w:w="435"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rPr>
              <w:t>预测</w:t>
            </w:r>
            <w:r>
              <w:rPr>
                <w:rFonts w:hint="default" w:ascii="Times New Roman" w:hAnsi="Times New Roman" w:cs="Times New Roman"/>
                <w:b w:val="0"/>
                <w:bCs/>
                <w:kern w:val="0"/>
                <w:sz w:val="21"/>
                <w:szCs w:val="21"/>
                <w:lang w:eastAsia="zh-CN"/>
              </w:rPr>
              <w:t>楼层</w:t>
            </w:r>
          </w:p>
        </w:tc>
        <w:tc>
          <w:tcPr>
            <w:tcW w:w="1472"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贡献值</w:t>
            </w:r>
            <w:r>
              <w:rPr>
                <w:rFonts w:hint="default" w:ascii="Times New Roman" w:hAnsi="Times New Roman" w:cs="Times New Roman"/>
                <w:b w:val="0"/>
                <w:bCs/>
                <w:kern w:val="0"/>
                <w:sz w:val="21"/>
                <w:szCs w:val="21"/>
              </w:rPr>
              <w:t>dB（A）</w:t>
            </w:r>
          </w:p>
        </w:tc>
        <w:tc>
          <w:tcPr>
            <w:tcW w:w="968"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lang w:eastAsia="zh-CN"/>
              </w:rPr>
              <w:t>现状值</w:t>
            </w:r>
            <w:r>
              <w:rPr>
                <w:rFonts w:hint="default" w:ascii="Times New Roman" w:hAnsi="Times New Roman" w:cs="Times New Roman"/>
                <w:b w:val="0"/>
                <w:bCs/>
                <w:kern w:val="0"/>
                <w:sz w:val="21"/>
                <w:szCs w:val="21"/>
              </w:rPr>
              <w:t>dB（A）</w:t>
            </w:r>
          </w:p>
        </w:tc>
        <w:tc>
          <w:tcPr>
            <w:tcW w:w="1501"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预测值dB（A）</w:t>
            </w:r>
          </w:p>
        </w:tc>
        <w:tc>
          <w:tcPr>
            <w:tcW w:w="996"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标准值dB（A）</w:t>
            </w:r>
          </w:p>
        </w:tc>
        <w:tc>
          <w:tcPr>
            <w:tcW w:w="789"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9"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p>
        </w:tc>
        <w:tc>
          <w:tcPr>
            <w:tcW w:w="556"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p>
        </w:tc>
        <w:tc>
          <w:tcPr>
            <w:tcW w:w="435"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p>
        </w:tc>
        <w:tc>
          <w:tcPr>
            <w:tcW w:w="72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昼间</w:t>
            </w:r>
          </w:p>
        </w:tc>
        <w:tc>
          <w:tcPr>
            <w:tcW w:w="74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夜间</w:t>
            </w:r>
          </w:p>
        </w:tc>
        <w:tc>
          <w:tcPr>
            <w:tcW w:w="491"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昼间</w:t>
            </w:r>
          </w:p>
        </w:tc>
        <w:tc>
          <w:tcPr>
            <w:tcW w:w="47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夜间</w:t>
            </w:r>
          </w:p>
        </w:tc>
        <w:tc>
          <w:tcPr>
            <w:tcW w:w="67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昼间</w:t>
            </w:r>
          </w:p>
        </w:tc>
        <w:tc>
          <w:tcPr>
            <w:tcW w:w="831"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夜间</w:t>
            </w:r>
          </w:p>
        </w:tc>
        <w:tc>
          <w:tcPr>
            <w:tcW w:w="53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昼间</w:t>
            </w:r>
          </w:p>
        </w:tc>
        <w:tc>
          <w:tcPr>
            <w:tcW w:w="46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夜间</w:t>
            </w:r>
          </w:p>
        </w:tc>
        <w:tc>
          <w:tcPr>
            <w:tcW w:w="379"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昼间</w:t>
            </w:r>
          </w:p>
        </w:tc>
        <w:tc>
          <w:tcPr>
            <w:tcW w:w="41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56"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30</w:t>
            </w:r>
          </w:p>
        </w:tc>
        <w:tc>
          <w:tcPr>
            <w:tcW w:w="43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55.05</w:t>
            </w:r>
          </w:p>
        </w:tc>
        <w:tc>
          <w:tcPr>
            <w:tcW w:w="74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45.79</w:t>
            </w:r>
          </w:p>
        </w:tc>
        <w:tc>
          <w:tcPr>
            <w:tcW w:w="4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4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40</w:t>
            </w:r>
          </w:p>
        </w:tc>
        <w:tc>
          <w:tcPr>
            <w:tcW w:w="67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57.16</w:t>
            </w:r>
          </w:p>
        </w:tc>
        <w:tc>
          <w:tcPr>
            <w:tcW w:w="83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46.81</w:t>
            </w:r>
          </w:p>
        </w:tc>
        <w:tc>
          <w:tcPr>
            <w:tcW w:w="53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6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56"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30</w:t>
            </w:r>
          </w:p>
        </w:tc>
        <w:tc>
          <w:tcPr>
            <w:tcW w:w="43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val="en-US" w:eastAsia="zh-CN"/>
              </w:rPr>
              <w:t>3</w:t>
            </w:r>
            <w:r>
              <w:rPr>
                <w:rFonts w:hint="default" w:ascii="Times New Roman" w:hAnsi="Times New Roman" w:eastAsia="宋体" w:cs="Times New Roman"/>
                <w:b w:val="0"/>
                <w:bCs/>
                <w:kern w:val="0"/>
                <w:sz w:val="21"/>
                <w:szCs w:val="21"/>
                <w:lang w:val="en-US" w:eastAsia="zh-CN"/>
              </w:rPr>
              <w:t>F</w:t>
            </w:r>
          </w:p>
        </w:tc>
        <w:tc>
          <w:tcPr>
            <w:tcW w:w="727"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58.17</w:t>
            </w:r>
          </w:p>
        </w:tc>
        <w:tc>
          <w:tcPr>
            <w:tcW w:w="74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48.91</w:t>
            </w:r>
          </w:p>
        </w:tc>
        <w:tc>
          <w:tcPr>
            <w:tcW w:w="4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55</w:t>
            </w:r>
          </w:p>
        </w:tc>
        <w:tc>
          <w:tcPr>
            <w:tcW w:w="4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41</w:t>
            </w:r>
          </w:p>
        </w:tc>
        <w:tc>
          <w:tcPr>
            <w:tcW w:w="67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59.88</w:t>
            </w:r>
          </w:p>
        </w:tc>
        <w:tc>
          <w:tcPr>
            <w:tcW w:w="83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49.56</w:t>
            </w:r>
          </w:p>
        </w:tc>
        <w:tc>
          <w:tcPr>
            <w:tcW w:w="53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rPr>
            </w:pPr>
            <w:r>
              <w:rPr>
                <w:rFonts w:hint="default" w:ascii="Times New Roman" w:hAnsi="Times New Roman" w:eastAsia="宋体" w:cs="Times New Roman"/>
                <w:b w:val="0"/>
                <w:bCs/>
                <w:kern w:val="0"/>
                <w:sz w:val="21"/>
                <w:szCs w:val="21"/>
                <w:lang w:val="en-US" w:eastAsia="zh-CN"/>
              </w:rPr>
              <w:t>70</w:t>
            </w:r>
          </w:p>
        </w:tc>
        <w:tc>
          <w:tcPr>
            <w:tcW w:w="46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rPr>
            </w:pPr>
            <w:r>
              <w:rPr>
                <w:rFonts w:hint="default" w:ascii="Times New Roman" w:hAnsi="Times New Roman" w:cs="Times New Roman"/>
                <w:b w:val="0"/>
                <w:bCs/>
                <w:kern w:val="0"/>
                <w:sz w:val="21"/>
                <w:szCs w:val="21"/>
                <w:lang w:val="en-US" w:eastAsia="zh-CN"/>
              </w:rPr>
              <w:t>55</w:t>
            </w:r>
          </w:p>
        </w:tc>
        <w:tc>
          <w:tcPr>
            <w:tcW w:w="3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56"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30</w:t>
            </w:r>
          </w:p>
        </w:tc>
        <w:tc>
          <w:tcPr>
            <w:tcW w:w="43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val="en-US" w:eastAsia="zh-CN"/>
              </w:rPr>
              <w:t>5</w:t>
            </w:r>
            <w:r>
              <w:rPr>
                <w:rFonts w:hint="default" w:ascii="Times New Roman" w:hAnsi="Times New Roman" w:eastAsia="宋体" w:cs="Times New Roman"/>
                <w:b w:val="0"/>
                <w:bCs/>
                <w:kern w:val="0"/>
                <w:sz w:val="21"/>
                <w:szCs w:val="21"/>
                <w:lang w:val="en-US" w:eastAsia="zh-CN"/>
              </w:rPr>
              <w:t>F</w:t>
            </w:r>
          </w:p>
        </w:tc>
        <w:tc>
          <w:tcPr>
            <w:tcW w:w="727"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57.96</w:t>
            </w:r>
          </w:p>
        </w:tc>
        <w:tc>
          <w:tcPr>
            <w:tcW w:w="74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48.7</w:t>
            </w:r>
          </w:p>
        </w:tc>
        <w:tc>
          <w:tcPr>
            <w:tcW w:w="4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58</w:t>
            </w:r>
          </w:p>
        </w:tc>
        <w:tc>
          <w:tcPr>
            <w:tcW w:w="4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67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60.99</w:t>
            </w:r>
          </w:p>
        </w:tc>
        <w:tc>
          <w:tcPr>
            <w:tcW w:w="83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49.14</w:t>
            </w:r>
          </w:p>
        </w:tc>
        <w:tc>
          <w:tcPr>
            <w:tcW w:w="53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kern w:val="0"/>
                <w:sz w:val="21"/>
                <w:szCs w:val="21"/>
                <w:lang w:val="en-US" w:eastAsia="zh-CN"/>
              </w:rPr>
              <w:t>70</w:t>
            </w:r>
          </w:p>
        </w:tc>
        <w:tc>
          <w:tcPr>
            <w:tcW w:w="46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rPr>
            </w:pPr>
            <w:r>
              <w:rPr>
                <w:rFonts w:hint="default" w:ascii="Times New Roman" w:hAnsi="Times New Roman" w:cs="Times New Roman"/>
                <w:b w:val="0"/>
                <w:bCs/>
                <w:kern w:val="0"/>
                <w:sz w:val="21"/>
                <w:szCs w:val="21"/>
                <w:lang w:val="en-US" w:eastAsia="zh-CN"/>
              </w:rPr>
              <w:t>55</w:t>
            </w:r>
          </w:p>
        </w:tc>
        <w:tc>
          <w:tcPr>
            <w:tcW w:w="3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56" w:type="dxa"/>
            <w:tcBorders>
              <w:tl2br w:val="nil"/>
              <w:tr2bl w:val="nil"/>
            </w:tcBorders>
            <w:noWrap w:val="0"/>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10</w:t>
            </w:r>
          </w:p>
        </w:tc>
        <w:tc>
          <w:tcPr>
            <w:tcW w:w="43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54.36</w:t>
            </w:r>
          </w:p>
        </w:tc>
        <w:tc>
          <w:tcPr>
            <w:tcW w:w="74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45.1</w:t>
            </w:r>
          </w:p>
        </w:tc>
        <w:tc>
          <w:tcPr>
            <w:tcW w:w="4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57</w:t>
            </w:r>
          </w:p>
        </w:tc>
        <w:tc>
          <w:tcPr>
            <w:tcW w:w="4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67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58.89</w:t>
            </w:r>
          </w:p>
        </w:tc>
        <w:tc>
          <w:tcPr>
            <w:tcW w:w="83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48.59</w:t>
            </w:r>
          </w:p>
        </w:tc>
        <w:tc>
          <w:tcPr>
            <w:tcW w:w="53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6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56" w:type="dxa"/>
            <w:tcBorders>
              <w:tl2br w:val="nil"/>
              <w:tr2bl w:val="nil"/>
            </w:tcBorders>
            <w:noWrap w:val="0"/>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10</w:t>
            </w:r>
          </w:p>
        </w:tc>
        <w:tc>
          <w:tcPr>
            <w:tcW w:w="43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3</w:t>
            </w:r>
            <w:r>
              <w:rPr>
                <w:rFonts w:hint="default" w:ascii="Times New Roman" w:hAnsi="Times New Roman" w:eastAsia="宋体" w:cs="Times New Roman"/>
                <w:b w:val="0"/>
                <w:bCs/>
                <w:kern w:val="0"/>
                <w:sz w:val="21"/>
                <w:szCs w:val="21"/>
                <w:lang w:val="en-US" w:eastAsia="zh-CN"/>
              </w:rPr>
              <w:t>F</w:t>
            </w:r>
          </w:p>
        </w:tc>
        <w:tc>
          <w:tcPr>
            <w:tcW w:w="727"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57.23</w:t>
            </w:r>
          </w:p>
        </w:tc>
        <w:tc>
          <w:tcPr>
            <w:tcW w:w="74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47.97</w:t>
            </w:r>
          </w:p>
        </w:tc>
        <w:tc>
          <w:tcPr>
            <w:tcW w:w="4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57</w:t>
            </w:r>
          </w:p>
        </w:tc>
        <w:tc>
          <w:tcPr>
            <w:tcW w:w="4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67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60.13</w:t>
            </w:r>
          </w:p>
        </w:tc>
        <w:tc>
          <w:tcPr>
            <w:tcW w:w="83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50.11</w:t>
            </w:r>
          </w:p>
        </w:tc>
        <w:tc>
          <w:tcPr>
            <w:tcW w:w="53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6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i w:val="0"/>
                <w:iCs w:val="0"/>
                <w:color w:val="000000"/>
                <w:kern w:val="0"/>
                <w:sz w:val="21"/>
                <w:szCs w:val="21"/>
                <w:u w:val="none"/>
                <w:lang w:val="en-US" w:eastAsia="zh-CN" w:bidi="ar"/>
              </w:rPr>
              <w:t>散户居民</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40</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55.1</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45.84</w:t>
            </w:r>
          </w:p>
        </w:tc>
        <w:tc>
          <w:tcPr>
            <w:tcW w:w="491" w:type="dxa"/>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477" w:type="dxa"/>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57.19</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46.66</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6</w:t>
            </w:r>
            <w:r>
              <w:rPr>
                <w:rFonts w:hint="default" w:ascii="Times New Roman" w:hAnsi="Times New Roman" w:eastAsia="宋体" w:cs="Times New Roman"/>
                <w:b w:val="0"/>
                <w:bCs/>
                <w:kern w:val="0"/>
                <w:sz w:val="21"/>
                <w:szCs w:val="21"/>
                <w:lang w:val="en-US" w:eastAsia="zh-CN"/>
              </w:rPr>
              <w:t>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w:t>
            </w:r>
            <w:r>
              <w:rPr>
                <w:rFonts w:hint="default" w:ascii="Times New Roman" w:hAnsi="Times New Roman" w:eastAsia="宋体" w:cs="Times New Roman"/>
                <w:b w:val="0"/>
                <w:bCs/>
                <w:kern w:val="0"/>
                <w:sz w:val="21"/>
                <w:szCs w:val="21"/>
                <w:lang w:val="en-US" w:eastAsia="zh-CN"/>
              </w:rPr>
              <w:t>0</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i w:val="0"/>
                <w:iCs w:val="0"/>
                <w:color w:val="000000"/>
                <w:kern w:val="0"/>
                <w:sz w:val="21"/>
                <w:szCs w:val="21"/>
                <w:u w:val="none"/>
                <w:lang w:val="en-US" w:eastAsia="zh-CN" w:bidi="ar"/>
              </w:rPr>
              <w:t>党群服务中心</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2</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62.96</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53.7</w:t>
            </w:r>
          </w:p>
        </w:tc>
        <w:tc>
          <w:tcPr>
            <w:tcW w:w="491" w:type="dxa"/>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50</w:t>
            </w:r>
          </w:p>
        </w:tc>
        <w:tc>
          <w:tcPr>
            <w:tcW w:w="477" w:type="dxa"/>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42</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63.18</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53.99</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rPr>
            </w:pPr>
            <w:r>
              <w:rPr>
                <w:rFonts w:hint="default" w:ascii="Times New Roman" w:hAnsi="Times New Roman" w:eastAsia="宋体" w:cs="Times New Roman"/>
                <w:b w:val="0"/>
                <w:bCs/>
                <w:i w:val="0"/>
                <w:iCs w:val="0"/>
                <w:color w:val="000000"/>
                <w:kern w:val="0"/>
                <w:sz w:val="21"/>
                <w:szCs w:val="21"/>
                <w:u w:val="none"/>
                <w:lang w:val="en-US" w:eastAsia="zh-CN" w:bidi="ar"/>
              </w:rPr>
              <w:t>四合村居民</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66.23</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56.97</w:t>
            </w:r>
          </w:p>
        </w:tc>
        <w:tc>
          <w:tcPr>
            <w:tcW w:w="491" w:type="dxa"/>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477" w:type="dxa"/>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45</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66.33</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57.11</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i w:val="0"/>
                <w:iCs w:val="0"/>
                <w:color w:val="000000"/>
                <w:kern w:val="0"/>
                <w:sz w:val="21"/>
                <w:szCs w:val="21"/>
                <w:u w:val="none"/>
                <w:lang w:val="en-US" w:eastAsia="zh-CN" w:bidi="ar"/>
              </w:rPr>
              <w:t>溪口村居民</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110</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49.59</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40.33</w:t>
            </w:r>
          </w:p>
        </w:tc>
        <w:tc>
          <w:tcPr>
            <w:tcW w:w="491" w:type="dxa"/>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56</w:t>
            </w:r>
          </w:p>
        </w:tc>
        <w:tc>
          <w:tcPr>
            <w:tcW w:w="477" w:type="dxa"/>
            <w:vAlign w:val="center"/>
          </w:tcPr>
          <w:p>
            <w:pPr>
              <w:keepNext w:val="0"/>
              <w:keepLines w:val="0"/>
              <w:widowControl/>
              <w:suppressLineNumbers w:val="0"/>
              <w:jc w:val="center"/>
              <w:textAlignment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41</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56.89</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43.69</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溪口村居民</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90</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52.86</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w:t>
            </w:r>
          </w:p>
        </w:tc>
        <w:tc>
          <w:tcPr>
            <w:tcW w:w="4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51</w:t>
            </w:r>
          </w:p>
        </w:tc>
        <w:tc>
          <w:tcPr>
            <w:tcW w:w="47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55.04</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47.97</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溪口村居民</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100</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51.54</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42.28</w:t>
            </w:r>
          </w:p>
        </w:tc>
        <w:tc>
          <w:tcPr>
            <w:tcW w:w="4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44</w:t>
            </w:r>
          </w:p>
        </w:tc>
        <w:tc>
          <w:tcPr>
            <w:tcW w:w="47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43</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52.25</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45.67</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溪口村居</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100</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48.76</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w:t>
            </w:r>
          </w:p>
        </w:tc>
        <w:tc>
          <w:tcPr>
            <w:tcW w:w="4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47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49.43</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42.27</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i w:val="0"/>
                <w:iCs w:val="0"/>
                <w:color w:val="000000"/>
                <w:kern w:val="0"/>
                <w:sz w:val="21"/>
                <w:szCs w:val="21"/>
                <w:u w:val="none"/>
                <w:lang w:val="en-US" w:eastAsia="zh-CN" w:bidi="ar"/>
              </w:rPr>
              <w:t>福善村</w:t>
            </w: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50</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51.09</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41.83</w:t>
            </w:r>
          </w:p>
        </w:tc>
        <w:tc>
          <w:tcPr>
            <w:tcW w:w="4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41</w:t>
            </w:r>
          </w:p>
        </w:tc>
        <w:tc>
          <w:tcPr>
            <w:tcW w:w="47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52.26</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43.65</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i w:val="0"/>
                <w:iCs w:val="0"/>
                <w:color w:val="000000"/>
                <w:kern w:val="0"/>
                <w:sz w:val="21"/>
                <w:szCs w:val="21"/>
                <w:u w:val="none"/>
                <w:lang w:val="en-US" w:eastAsia="zh-CN" w:bidi="ar"/>
              </w:rPr>
              <w:t>福善村</w:t>
            </w: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10</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56.57</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47.31</w:t>
            </w:r>
          </w:p>
        </w:tc>
        <w:tc>
          <w:tcPr>
            <w:tcW w:w="4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51</w:t>
            </w:r>
          </w:p>
        </w:tc>
        <w:tc>
          <w:tcPr>
            <w:tcW w:w="47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40</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57.64</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48.05</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i w:val="0"/>
                <w:iCs w:val="0"/>
                <w:color w:val="000000"/>
                <w:kern w:val="0"/>
                <w:sz w:val="21"/>
                <w:szCs w:val="21"/>
                <w:u w:val="none"/>
                <w:lang w:val="en-US" w:eastAsia="zh-CN" w:bidi="ar"/>
              </w:rPr>
              <w:t>福善村</w:t>
            </w: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556" w:type="dxa"/>
            <w:vAlign w:val="center"/>
          </w:tcPr>
          <w:p>
            <w:pPr>
              <w:jc w:val="center"/>
              <w:rPr>
                <w:rFonts w:hint="default" w:ascii="Times New Roman" w:hAnsi="Times New Roman"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60</w:t>
            </w:r>
          </w:p>
        </w:tc>
        <w:tc>
          <w:tcPr>
            <w:tcW w:w="43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27"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51.35</w:t>
            </w:r>
          </w:p>
        </w:tc>
        <w:tc>
          <w:tcPr>
            <w:tcW w:w="74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42.09</w:t>
            </w:r>
          </w:p>
        </w:tc>
        <w:tc>
          <w:tcPr>
            <w:tcW w:w="4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47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40</w:t>
            </w:r>
          </w:p>
        </w:tc>
        <w:tc>
          <w:tcPr>
            <w:tcW w:w="67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55.26</w:t>
            </w:r>
          </w:p>
        </w:tc>
        <w:tc>
          <w:tcPr>
            <w:tcW w:w="83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44.18</w:t>
            </w:r>
          </w:p>
        </w:tc>
        <w:tc>
          <w:tcPr>
            <w:tcW w:w="53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63" w:type="dxa"/>
            <w:vAlign w:val="center"/>
          </w:tcPr>
          <w:p>
            <w:pPr>
              <w:autoSpaceDE w:val="0"/>
              <w:autoSpaceDN w:val="0"/>
              <w:ind w:left="-120" w:leftChars="-50" w:right="-120" w:rightChars="-50"/>
              <w:jc w:val="center"/>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bl>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kern w:val="2"/>
          <w:szCs w:val="21"/>
          <w:highlight w:val="none"/>
          <w:lang w:val="en-US" w:eastAsia="zh-CN"/>
        </w:rPr>
      </w:pPr>
    </w:p>
    <w:p>
      <w:pPr>
        <w:numPr>
          <w:ilvl w:val="-1"/>
          <w:numId w:val="0"/>
        </w:numPr>
        <w:tabs>
          <w:tab w:val="left" w:pos="0"/>
        </w:tabs>
        <w:autoSpaceDE w:val="0"/>
        <w:autoSpaceDN w:val="0"/>
        <w:adjustRightInd w:val="0"/>
        <w:ind w:left="0" w:leftChars="0" w:firstLine="0" w:firstLine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表4.4-22</w:t>
      </w:r>
      <w:r>
        <w:rPr>
          <w:rFonts w:hint="default" w:ascii="Times New Roman" w:hAnsi="Times New Roman" w:eastAsia="宋体" w:cs="Times New Roman"/>
          <w:b/>
          <w:bCs w:val="0"/>
          <w:kern w:val="0"/>
          <w:sz w:val="21"/>
          <w:szCs w:val="21"/>
          <w:lang w:val="en-US" w:eastAsia="zh-CN"/>
        </w:rPr>
        <w:t xml:space="preserve"> </w:t>
      </w:r>
      <w:r>
        <w:rPr>
          <w:rFonts w:hint="default" w:ascii="Times New Roman" w:hAnsi="Times New Roman" w:eastAsia="宋体" w:cs="Times New Roman"/>
          <w:b/>
          <w:bCs w:val="0"/>
          <w:kern w:val="0"/>
          <w:sz w:val="21"/>
          <w:szCs w:val="21"/>
        </w:rPr>
        <w:t>本项目</w:t>
      </w:r>
      <w:r>
        <w:rPr>
          <w:rFonts w:hint="default" w:ascii="Times New Roman" w:hAnsi="Times New Roman" w:cs="Times New Roman"/>
          <w:b/>
          <w:bCs w:val="0"/>
          <w:kern w:val="0"/>
          <w:sz w:val="21"/>
          <w:szCs w:val="21"/>
          <w:lang w:val="en-US" w:eastAsia="zh-CN"/>
        </w:rPr>
        <w:t>2031年</w:t>
      </w:r>
      <w:r>
        <w:rPr>
          <w:rFonts w:hint="default" w:ascii="Times New Roman" w:hAnsi="Times New Roman" w:eastAsia="宋体" w:cs="Times New Roman"/>
          <w:b/>
          <w:bCs w:val="0"/>
          <w:kern w:val="0"/>
          <w:sz w:val="21"/>
          <w:szCs w:val="21"/>
          <w:lang w:eastAsia="zh-CN"/>
        </w:rPr>
        <w:t>敏感点噪声预测结果</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16"/>
        <w:gridCol w:w="688"/>
        <w:gridCol w:w="540"/>
        <w:gridCol w:w="816"/>
        <w:gridCol w:w="1008"/>
        <w:gridCol w:w="609"/>
        <w:gridCol w:w="591"/>
        <w:gridCol w:w="831"/>
        <w:gridCol w:w="1030"/>
        <w:gridCol w:w="661"/>
        <w:gridCol w:w="574"/>
        <w:gridCol w:w="470"/>
        <w:gridCol w:w="5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75"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敏感点名称</w:t>
            </w:r>
          </w:p>
        </w:tc>
        <w:tc>
          <w:tcPr>
            <w:tcW w:w="579"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距</w:t>
            </w:r>
            <w:r>
              <w:rPr>
                <w:rFonts w:hint="default" w:ascii="Times New Roman" w:hAnsi="Times New Roman" w:eastAsia="宋体" w:cs="Times New Roman"/>
                <w:b w:val="0"/>
                <w:bCs/>
                <w:color w:val="auto"/>
                <w:kern w:val="0"/>
                <w:sz w:val="21"/>
                <w:szCs w:val="21"/>
                <w:highlight w:val="none"/>
                <w:lang w:eastAsia="zh-CN"/>
              </w:rPr>
              <w:t>道路</w:t>
            </w:r>
            <w:r>
              <w:rPr>
                <w:rFonts w:hint="default" w:ascii="Times New Roman" w:hAnsi="Times New Roman" w:eastAsia="宋体" w:cs="Times New Roman"/>
                <w:b w:val="0"/>
                <w:bCs/>
                <w:color w:val="auto"/>
                <w:kern w:val="0"/>
                <w:sz w:val="21"/>
                <w:szCs w:val="21"/>
                <w:lang w:eastAsia="zh-CN"/>
              </w:rPr>
              <w:t>边界</w:t>
            </w:r>
            <w:r>
              <w:rPr>
                <w:rFonts w:hint="default" w:ascii="Times New Roman" w:hAnsi="Times New Roman" w:eastAsia="宋体" w:cs="Times New Roman"/>
                <w:b w:val="0"/>
                <w:bCs/>
                <w:color w:val="auto"/>
                <w:kern w:val="0"/>
                <w:sz w:val="21"/>
                <w:szCs w:val="21"/>
              </w:rPr>
              <w:t>距离（m）</w:t>
            </w:r>
          </w:p>
        </w:tc>
        <w:tc>
          <w:tcPr>
            <w:tcW w:w="450"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预测</w:t>
            </w:r>
            <w:r>
              <w:rPr>
                <w:rFonts w:hint="default" w:ascii="Times New Roman" w:hAnsi="Times New Roman" w:eastAsia="宋体" w:cs="Times New Roman"/>
                <w:b w:val="0"/>
                <w:bCs/>
                <w:color w:val="auto"/>
                <w:kern w:val="0"/>
                <w:sz w:val="21"/>
                <w:szCs w:val="21"/>
                <w:lang w:eastAsia="zh-CN"/>
              </w:rPr>
              <w:t>楼层</w:t>
            </w:r>
          </w:p>
        </w:tc>
        <w:tc>
          <w:tcPr>
            <w:tcW w:w="1545"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贡献值</w:t>
            </w:r>
            <w:r>
              <w:rPr>
                <w:rFonts w:hint="default" w:ascii="Times New Roman" w:hAnsi="Times New Roman" w:eastAsia="宋体" w:cs="Times New Roman"/>
                <w:b w:val="0"/>
                <w:bCs/>
                <w:color w:val="auto"/>
                <w:kern w:val="0"/>
                <w:sz w:val="21"/>
                <w:szCs w:val="21"/>
              </w:rPr>
              <w:t>dB（A）</w:t>
            </w:r>
          </w:p>
        </w:tc>
        <w:tc>
          <w:tcPr>
            <w:tcW w:w="1005"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lang w:eastAsia="zh-CN"/>
              </w:rPr>
              <w:t>现状值</w:t>
            </w:r>
            <w:r>
              <w:rPr>
                <w:rFonts w:hint="default" w:ascii="Times New Roman" w:hAnsi="Times New Roman" w:eastAsia="宋体" w:cs="Times New Roman"/>
                <w:b w:val="0"/>
                <w:bCs/>
                <w:color w:val="auto"/>
                <w:kern w:val="0"/>
                <w:sz w:val="21"/>
                <w:szCs w:val="21"/>
              </w:rPr>
              <w:t>dB（A）</w:t>
            </w:r>
          </w:p>
        </w:tc>
        <w:tc>
          <w:tcPr>
            <w:tcW w:w="1575"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预测值dB（A）</w:t>
            </w:r>
          </w:p>
        </w:tc>
        <w:tc>
          <w:tcPr>
            <w:tcW w:w="1035"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标准值dB（A）</w:t>
            </w:r>
          </w:p>
        </w:tc>
        <w:tc>
          <w:tcPr>
            <w:tcW w:w="813"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p>
        </w:tc>
        <w:tc>
          <w:tcPr>
            <w:tcW w:w="579"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p>
        </w:tc>
        <w:tc>
          <w:tcPr>
            <w:tcW w:w="450"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p>
        </w:tc>
        <w:tc>
          <w:tcPr>
            <w:tcW w:w="69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昼间</w:t>
            </w:r>
          </w:p>
        </w:tc>
        <w:tc>
          <w:tcPr>
            <w:tcW w:w="8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夜间</w:t>
            </w:r>
          </w:p>
        </w:tc>
        <w:tc>
          <w:tcPr>
            <w:tcW w:w="51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昼间</w:t>
            </w:r>
          </w:p>
        </w:tc>
        <w:tc>
          <w:tcPr>
            <w:tcW w:w="49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夜间</w:t>
            </w:r>
          </w:p>
        </w:tc>
        <w:tc>
          <w:tcPr>
            <w:tcW w:w="701"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昼间</w:t>
            </w:r>
          </w:p>
        </w:tc>
        <w:tc>
          <w:tcPr>
            <w:tcW w:w="874"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夜间</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昼间</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夜间</w:t>
            </w:r>
          </w:p>
        </w:tc>
        <w:tc>
          <w:tcPr>
            <w:tcW w:w="39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昼间</w:t>
            </w:r>
          </w:p>
        </w:tc>
        <w:tc>
          <w:tcPr>
            <w:tcW w:w="42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i w:val="0"/>
                <w:iCs w:val="0"/>
                <w:color w:val="auto"/>
                <w:kern w:val="0"/>
                <w:sz w:val="21"/>
                <w:szCs w:val="21"/>
                <w:u w:val="none"/>
                <w:lang w:val="en-US" w:eastAsia="zh-CN" w:bidi="ar"/>
              </w:rPr>
              <w:t>临巴</w:t>
            </w:r>
            <w:r>
              <w:rPr>
                <w:rFonts w:hint="default" w:ascii="Times New Roman" w:hAnsi="Times New Roman" w:eastAsia="宋体" w:cs="Times New Roman"/>
                <w:b w:val="0"/>
                <w:bCs/>
                <w:i w:val="0"/>
                <w:iCs w:val="0"/>
                <w:color w:val="auto"/>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55.82</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46.56</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53</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40</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57.64</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47.43</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i w:val="0"/>
                <w:iCs w:val="0"/>
                <w:color w:val="auto"/>
                <w:kern w:val="0"/>
                <w:sz w:val="21"/>
                <w:szCs w:val="21"/>
                <w:u w:val="none"/>
                <w:lang w:val="en-US" w:eastAsia="zh-CN" w:bidi="ar"/>
              </w:rPr>
              <w:t>临巴</w:t>
            </w:r>
            <w:r>
              <w:rPr>
                <w:rFonts w:hint="default" w:ascii="Times New Roman" w:hAnsi="Times New Roman" w:eastAsia="宋体" w:cs="Times New Roman"/>
                <w:b w:val="0"/>
                <w:bCs/>
                <w:i w:val="0"/>
                <w:iCs w:val="0"/>
                <w:color w:val="auto"/>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lang w:val="en-US" w:eastAsia="zh-CN"/>
              </w:rPr>
              <w:t>3F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58.94</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49.68</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55</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41</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60.41</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50.23</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rPr>
            </w:pPr>
            <w:r>
              <w:rPr>
                <w:rFonts w:hint="default" w:ascii="Times New Roman" w:hAnsi="Times New Roman" w:eastAsia="宋体" w:cs="Times New Roman"/>
                <w:b w:val="0"/>
                <w:bCs/>
                <w:color w:val="auto"/>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rPr>
            </w:pPr>
            <w:r>
              <w:rPr>
                <w:rFonts w:hint="default" w:ascii="Times New Roman" w:hAnsi="Times New Roman" w:cs="Times New Roman"/>
                <w:b w:val="0"/>
                <w:bCs/>
                <w:color w:val="auto"/>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i w:val="0"/>
                <w:iCs w:val="0"/>
                <w:color w:val="auto"/>
                <w:kern w:val="0"/>
                <w:sz w:val="21"/>
                <w:szCs w:val="21"/>
                <w:u w:val="none"/>
                <w:lang w:val="en-US" w:eastAsia="zh-CN" w:bidi="ar"/>
              </w:rPr>
              <w:t>临巴</w:t>
            </w:r>
            <w:r>
              <w:rPr>
                <w:rFonts w:hint="default" w:ascii="Times New Roman" w:hAnsi="Times New Roman" w:eastAsia="宋体" w:cs="Times New Roman"/>
                <w:b w:val="0"/>
                <w:bCs/>
                <w:i w:val="0"/>
                <w:iCs w:val="0"/>
                <w:color w:val="auto"/>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eastAsia="zh-CN"/>
              </w:rPr>
            </w:pPr>
            <w:r>
              <w:rPr>
                <w:rFonts w:hint="default" w:ascii="Times New Roman" w:hAnsi="Times New Roman" w:cs="Times New Roman"/>
                <w:b w:val="0"/>
                <w:bCs/>
                <w:color w:val="auto"/>
                <w:kern w:val="0"/>
                <w:sz w:val="21"/>
                <w:szCs w:val="21"/>
                <w:lang w:val="en-US" w:eastAsia="zh-CN"/>
              </w:rPr>
              <w:t>5</w:t>
            </w:r>
            <w:r>
              <w:rPr>
                <w:rFonts w:hint="default" w:ascii="Times New Roman" w:hAnsi="Times New Roman" w:eastAsia="宋体" w:cs="Times New Roman"/>
                <w:b w:val="0"/>
                <w:bCs/>
                <w:color w:val="auto"/>
                <w:kern w:val="0"/>
                <w:sz w:val="21"/>
                <w:szCs w:val="21"/>
                <w:lang w:val="en-US" w:eastAsia="zh-CN"/>
              </w:rPr>
              <w:t>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58.72</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49.47</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58</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39</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61.39</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49.84</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i w:val="0"/>
                <w:iCs w:val="0"/>
                <w:color w:val="auto"/>
                <w:kern w:val="0"/>
                <w:sz w:val="21"/>
                <w:szCs w:val="21"/>
                <w:u w:val="none"/>
                <w:lang w:val="en-US" w:eastAsia="zh-CN" w:bidi="ar"/>
              </w:rPr>
              <w:t>临巴</w:t>
            </w:r>
            <w:r>
              <w:rPr>
                <w:rFonts w:hint="default" w:ascii="Times New Roman" w:hAnsi="Times New Roman" w:eastAsia="宋体" w:cs="Times New Roman"/>
                <w:b w:val="0"/>
                <w:bCs/>
                <w:i w:val="0"/>
                <w:iCs w:val="0"/>
                <w:color w:val="auto"/>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55.13</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45.87</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57</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46</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59.17</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48.95</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i w:val="0"/>
                <w:iCs w:val="0"/>
                <w:color w:val="auto"/>
                <w:kern w:val="0"/>
                <w:sz w:val="21"/>
                <w:szCs w:val="21"/>
                <w:u w:val="none"/>
                <w:lang w:val="en-US" w:eastAsia="zh-CN" w:bidi="ar"/>
              </w:rPr>
              <w:t>临巴</w:t>
            </w:r>
            <w:r>
              <w:rPr>
                <w:rFonts w:hint="default" w:ascii="Times New Roman" w:hAnsi="Times New Roman" w:eastAsia="宋体" w:cs="Times New Roman"/>
                <w:b w:val="0"/>
                <w:bCs/>
                <w:i w:val="0"/>
                <w:iCs w:val="0"/>
                <w:color w:val="auto"/>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57.99</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48.74</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57</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46</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60.54</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50.59</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散户居民</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40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55.86</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46.61</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53</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39</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57.67</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47.3</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6</w:t>
            </w:r>
            <w:r>
              <w:rPr>
                <w:rFonts w:hint="default" w:ascii="Times New Roman" w:hAnsi="Times New Roman" w:eastAsia="宋体" w:cs="Times New Roman"/>
                <w:b w:val="0"/>
                <w:bCs/>
                <w:color w:val="auto"/>
                <w:kern w:val="0"/>
                <w:sz w:val="21"/>
                <w:szCs w:val="21"/>
                <w:lang w:val="en-US" w:eastAsia="zh-CN"/>
              </w:rPr>
              <w:t>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5</w:t>
            </w:r>
            <w:r>
              <w:rPr>
                <w:rFonts w:hint="default" w:ascii="Times New Roman" w:hAnsi="Times New Roman" w:eastAsia="宋体" w:cs="Times New Roman"/>
                <w:b w:val="0"/>
                <w:bCs/>
                <w:color w:val="auto"/>
                <w:kern w:val="0"/>
                <w:sz w:val="21"/>
                <w:szCs w:val="21"/>
                <w:lang w:val="en-US" w:eastAsia="zh-CN"/>
              </w:rPr>
              <w:t>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党群服务中心</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63.73</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54.47</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50</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42</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63.91</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54.71</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70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55</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四合村居民</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57.74</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53</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45</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67.08</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57.86</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70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55</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溪口村居民</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110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50.35</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41.09</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56</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41</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57.05</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44.06</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溪口村居民</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90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53.63</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44.37</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51</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46</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55.52</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48.27</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溪口村居民</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100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52.31</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43.05</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44</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43</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52.91</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46.04</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溪口村居</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100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49.53</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40.27</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46</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39</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50.1</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42.69</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i w:val="0"/>
                <w:iCs w:val="0"/>
                <w:color w:val="auto"/>
                <w:kern w:val="0"/>
                <w:sz w:val="21"/>
                <w:szCs w:val="21"/>
                <w:u w:val="none"/>
                <w:lang w:val="en-US" w:eastAsia="zh-CN" w:bidi="ar"/>
              </w:rPr>
              <w:t>福善村</w:t>
            </w:r>
            <w:r>
              <w:rPr>
                <w:rFonts w:hint="default" w:ascii="Times New Roman" w:hAnsi="Times New Roman" w:eastAsia="宋体" w:cs="Times New Roman"/>
                <w:b w:val="0"/>
                <w:bCs/>
                <w:i w:val="0"/>
                <w:iCs w:val="0"/>
                <w:color w:val="auto"/>
                <w:kern w:val="0"/>
                <w:sz w:val="21"/>
                <w:szCs w:val="21"/>
                <w:u w:val="none"/>
                <w:lang w:val="en-US" w:eastAsia="zh-CN" w:bidi="ar"/>
              </w:rPr>
              <w:t>居民</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51.85</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42.59</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41</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39</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52.85</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44.17</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i w:val="0"/>
                <w:iCs w:val="0"/>
                <w:color w:val="auto"/>
                <w:kern w:val="0"/>
                <w:sz w:val="21"/>
                <w:szCs w:val="21"/>
                <w:u w:val="none"/>
                <w:lang w:val="en-US" w:eastAsia="zh-CN" w:bidi="ar"/>
              </w:rPr>
              <w:t>福善村</w:t>
            </w:r>
            <w:r>
              <w:rPr>
                <w:rFonts w:hint="default" w:ascii="Times New Roman" w:hAnsi="Times New Roman" w:eastAsia="宋体" w:cs="Times New Roman"/>
                <w:b w:val="0"/>
                <w:bCs/>
                <w:i w:val="0"/>
                <w:iCs w:val="0"/>
                <w:color w:val="auto"/>
                <w:kern w:val="0"/>
                <w:sz w:val="21"/>
                <w:szCs w:val="21"/>
                <w:u w:val="none"/>
                <w:lang w:val="en-US" w:eastAsia="zh-CN" w:bidi="ar"/>
              </w:rPr>
              <w:t>居民</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57.34</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48.08</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51</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40</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58.25</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48.71</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70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55</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i w:val="0"/>
                <w:iCs w:val="0"/>
                <w:color w:val="auto"/>
                <w:kern w:val="0"/>
                <w:sz w:val="21"/>
                <w:szCs w:val="21"/>
                <w:u w:val="none"/>
                <w:lang w:val="en-US" w:eastAsia="zh-CN" w:bidi="ar"/>
              </w:rPr>
              <w:t>福善村</w:t>
            </w:r>
            <w:r>
              <w:rPr>
                <w:rFonts w:hint="default" w:ascii="Times New Roman" w:hAnsi="Times New Roman" w:eastAsia="宋体" w:cs="Times New Roman"/>
                <w:b w:val="0"/>
                <w:bCs/>
                <w:i w:val="0"/>
                <w:iCs w:val="0"/>
                <w:color w:val="auto"/>
                <w:kern w:val="0"/>
                <w:sz w:val="21"/>
                <w:szCs w:val="21"/>
                <w:u w:val="none"/>
                <w:lang w:val="en-US" w:eastAsia="zh-CN" w:bidi="ar"/>
              </w:rPr>
              <w:t>居民</w:t>
            </w:r>
          </w:p>
        </w:tc>
        <w:tc>
          <w:tcPr>
            <w:tcW w:w="579" w:type="dxa"/>
            <w:vAlign w:val="center"/>
          </w:tcPr>
          <w:p>
            <w:pPr>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60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52.12</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42.86</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53</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40</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55.59</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44.67</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达标</w:t>
            </w:r>
          </w:p>
        </w:tc>
      </w:tr>
    </w:tbl>
    <w:p>
      <w:pPr>
        <w:pStyle w:val="11"/>
        <w:rPr>
          <w:rFonts w:hint="default" w:ascii="Times New Roman" w:hAnsi="Times New Roman" w:eastAsia="宋体" w:cs="Times New Roman"/>
          <w:b w:val="0"/>
          <w:bCs/>
          <w:sz w:val="21"/>
          <w:szCs w:val="21"/>
        </w:rPr>
      </w:pPr>
    </w:p>
    <w:p>
      <w:pPr>
        <w:numPr>
          <w:ilvl w:val="-1"/>
          <w:numId w:val="0"/>
        </w:numPr>
        <w:tabs>
          <w:tab w:val="left" w:pos="0"/>
        </w:tabs>
        <w:autoSpaceDE w:val="0"/>
        <w:autoSpaceDN w:val="0"/>
        <w:adjustRightInd w:val="0"/>
        <w:ind w:left="0" w:leftChars="0" w:firstLine="0" w:firstLineChars="0"/>
        <w:jc w:val="center"/>
        <w:rPr>
          <w:rFonts w:hint="default" w:ascii="Times New Roman" w:hAnsi="Times New Roman" w:eastAsia="宋体" w:cs="Times New Roman"/>
          <w:b/>
          <w:bCs w:val="0"/>
          <w:kern w:val="0"/>
          <w:sz w:val="21"/>
          <w:szCs w:val="21"/>
        </w:rPr>
      </w:pPr>
      <w:r>
        <w:rPr>
          <w:rFonts w:hint="eastAsia" w:ascii="Times New Roman" w:hAnsi="Times New Roman" w:cs="Times New Roman"/>
          <w:b/>
          <w:bCs w:val="0"/>
          <w:kern w:val="0"/>
          <w:sz w:val="21"/>
          <w:szCs w:val="21"/>
          <w:lang w:val="en-US" w:eastAsia="zh-CN"/>
        </w:rPr>
        <w:t>表4.4-23</w:t>
      </w:r>
      <w:r>
        <w:rPr>
          <w:rFonts w:hint="default" w:ascii="Times New Roman" w:hAnsi="Times New Roman" w:eastAsia="宋体" w:cs="Times New Roman"/>
          <w:b/>
          <w:bCs w:val="0"/>
          <w:kern w:val="0"/>
          <w:sz w:val="21"/>
          <w:szCs w:val="21"/>
          <w:lang w:val="en-US" w:eastAsia="zh-CN"/>
        </w:rPr>
        <w:t xml:space="preserve"> </w:t>
      </w:r>
      <w:r>
        <w:rPr>
          <w:rFonts w:hint="default" w:ascii="Times New Roman" w:hAnsi="Times New Roman" w:eastAsia="宋体" w:cs="Times New Roman"/>
          <w:b/>
          <w:bCs w:val="0"/>
          <w:kern w:val="0"/>
          <w:sz w:val="21"/>
          <w:szCs w:val="21"/>
        </w:rPr>
        <w:t>本项目</w:t>
      </w:r>
      <w:r>
        <w:rPr>
          <w:rFonts w:hint="default" w:ascii="Times New Roman" w:hAnsi="Times New Roman" w:cs="Times New Roman"/>
          <w:b/>
          <w:bCs w:val="0"/>
          <w:kern w:val="0"/>
          <w:sz w:val="21"/>
          <w:szCs w:val="21"/>
          <w:lang w:val="en-US" w:eastAsia="zh-CN"/>
        </w:rPr>
        <w:t>2039年</w:t>
      </w:r>
      <w:r>
        <w:rPr>
          <w:rFonts w:hint="default" w:ascii="Times New Roman" w:hAnsi="Times New Roman" w:eastAsia="宋体" w:cs="Times New Roman"/>
          <w:b/>
          <w:bCs w:val="0"/>
          <w:kern w:val="0"/>
          <w:sz w:val="21"/>
          <w:szCs w:val="21"/>
          <w:lang w:eastAsia="zh-CN"/>
        </w:rPr>
        <w:t>敏感点噪声预测结果</w:t>
      </w:r>
    </w:p>
    <w:tbl>
      <w:tblPr>
        <w:tblStyle w:val="17"/>
        <w:tblW w:w="47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16"/>
        <w:gridCol w:w="688"/>
        <w:gridCol w:w="540"/>
        <w:gridCol w:w="816"/>
        <w:gridCol w:w="1008"/>
        <w:gridCol w:w="609"/>
        <w:gridCol w:w="591"/>
        <w:gridCol w:w="831"/>
        <w:gridCol w:w="1030"/>
        <w:gridCol w:w="661"/>
        <w:gridCol w:w="574"/>
        <w:gridCol w:w="470"/>
        <w:gridCol w:w="5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75"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敏感点名称</w:t>
            </w:r>
          </w:p>
        </w:tc>
        <w:tc>
          <w:tcPr>
            <w:tcW w:w="579"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距</w:t>
            </w:r>
            <w:r>
              <w:rPr>
                <w:rFonts w:hint="default" w:ascii="Times New Roman" w:hAnsi="Times New Roman" w:eastAsia="宋体" w:cs="Times New Roman"/>
                <w:b w:val="0"/>
                <w:bCs/>
                <w:kern w:val="0"/>
                <w:sz w:val="21"/>
                <w:szCs w:val="21"/>
                <w:highlight w:val="none"/>
                <w:lang w:eastAsia="zh-CN"/>
              </w:rPr>
              <w:t>道路</w:t>
            </w:r>
            <w:r>
              <w:rPr>
                <w:rFonts w:hint="default" w:ascii="Times New Roman" w:hAnsi="Times New Roman" w:eastAsia="宋体" w:cs="Times New Roman"/>
                <w:b w:val="0"/>
                <w:bCs/>
                <w:kern w:val="0"/>
                <w:sz w:val="21"/>
                <w:szCs w:val="21"/>
                <w:lang w:eastAsia="zh-CN"/>
              </w:rPr>
              <w:t>边界</w:t>
            </w:r>
            <w:r>
              <w:rPr>
                <w:rFonts w:hint="default" w:ascii="Times New Roman" w:hAnsi="Times New Roman" w:eastAsia="宋体" w:cs="Times New Roman"/>
                <w:b w:val="0"/>
                <w:bCs/>
                <w:kern w:val="0"/>
                <w:sz w:val="21"/>
                <w:szCs w:val="21"/>
              </w:rPr>
              <w:t>距离（m）</w:t>
            </w:r>
          </w:p>
        </w:tc>
        <w:tc>
          <w:tcPr>
            <w:tcW w:w="450"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eastAsia="zh-CN"/>
              </w:rPr>
            </w:pPr>
            <w:r>
              <w:rPr>
                <w:rFonts w:hint="default" w:ascii="Times New Roman" w:hAnsi="Times New Roman" w:eastAsia="宋体" w:cs="Times New Roman"/>
                <w:b w:val="0"/>
                <w:bCs/>
                <w:kern w:val="0"/>
                <w:sz w:val="21"/>
                <w:szCs w:val="21"/>
              </w:rPr>
              <w:t>预测</w:t>
            </w:r>
            <w:r>
              <w:rPr>
                <w:rFonts w:hint="default" w:ascii="Times New Roman" w:hAnsi="Times New Roman" w:eastAsia="宋体" w:cs="Times New Roman"/>
                <w:b w:val="0"/>
                <w:bCs/>
                <w:kern w:val="0"/>
                <w:sz w:val="21"/>
                <w:szCs w:val="21"/>
                <w:lang w:eastAsia="zh-CN"/>
              </w:rPr>
              <w:t>楼层</w:t>
            </w:r>
          </w:p>
        </w:tc>
        <w:tc>
          <w:tcPr>
            <w:tcW w:w="1545"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贡献值</w:t>
            </w:r>
            <w:r>
              <w:rPr>
                <w:rFonts w:hint="default" w:ascii="Times New Roman" w:hAnsi="Times New Roman" w:eastAsia="宋体" w:cs="Times New Roman"/>
                <w:b w:val="0"/>
                <w:bCs/>
                <w:kern w:val="0"/>
                <w:sz w:val="21"/>
                <w:szCs w:val="21"/>
              </w:rPr>
              <w:t>dB（A）</w:t>
            </w:r>
          </w:p>
        </w:tc>
        <w:tc>
          <w:tcPr>
            <w:tcW w:w="1005"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lang w:eastAsia="zh-CN"/>
              </w:rPr>
              <w:t>现状值</w:t>
            </w:r>
            <w:r>
              <w:rPr>
                <w:rFonts w:hint="default" w:ascii="Times New Roman" w:hAnsi="Times New Roman" w:eastAsia="宋体" w:cs="Times New Roman"/>
                <w:b w:val="0"/>
                <w:bCs/>
                <w:kern w:val="0"/>
                <w:sz w:val="21"/>
                <w:szCs w:val="21"/>
              </w:rPr>
              <w:t>dB（A）</w:t>
            </w:r>
          </w:p>
        </w:tc>
        <w:tc>
          <w:tcPr>
            <w:tcW w:w="1575"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预测值dB（A）</w:t>
            </w:r>
          </w:p>
        </w:tc>
        <w:tc>
          <w:tcPr>
            <w:tcW w:w="1035"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标准值dB（A）</w:t>
            </w:r>
          </w:p>
        </w:tc>
        <w:tc>
          <w:tcPr>
            <w:tcW w:w="813"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p>
        </w:tc>
        <w:tc>
          <w:tcPr>
            <w:tcW w:w="579"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p>
        </w:tc>
        <w:tc>
          <w:tcPr>
            <w:tcW w:w="450"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p>
        </w:tc>
        <w:tc>
          <w:tcPr>
            <w:tcW w:w="69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8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c>
          <w:tcPr>
            <w:tcW w:w="51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49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c>
          <w:tcPr>
            <w:tcW w:w="701"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874"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c>
          <w:tcPr>
            <w:tcW w:w="39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423"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56.43</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47.17</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40</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58.06</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47.93</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eastAsia="zh-CN"/>
              </w:rPr>
            </w:pPr>
            <w:r>
              <w:rPr>
                <w:rFonts w:hint="default" w:ascii="Times New Roman" w:hAnsi="Times New Roman" w:eastAsia="宋体" w:cs="Times New Roman"/>
                <w:b w:val="0"/>
                <w:bCs/>
                <w:kern w:val="0"/>
                <w:sz w:val="21"/>
                <w:szCs w:val="21"/>
                <w:lang w:val="en-US" w:eastAsia="zh-CN"/>
              </w:rPr>
              <w:t>3F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59.55</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50.29</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55</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41</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60.86</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50.77</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rPr>
            </w:pPr>
            <w:r>
              <w:rPr>
                <w:rFonts w:hint="default" w:ascii="Times New Roman" w:hAnsi="Times New Roman" w:eastAsia="宋体" w:cs="Times New Roman"/>
                <w:b w:val="0"/>
                <w:bCs/>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rPr>
            </w:pPr>
            <w:r>
              <w:rPr>
                <w:rFonts w:hint="default" w:ascii="Times New Roman" w:hAnsi="Times New Roman" w:cs="Times New Roman"/>
                <w:b w:val="0"/>
                <w:bCs/>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val="en-US" w:eastAsia="zh-CN"/>
              </w:rPr>
              <w:t>5</w:t>
            </w:r>
            <w:r>
              <w:rPr>
                <w:rFonts w:hint="default" w:ascii="Times New Roman" w:hAnsi="Times New Roman" w:eastAsia="宋体" w:cs="Times New Roman"/>
                <w:b w:val="0"/>
                <w:bCs/>
                <w:kern w:val="0"/>
                <w:sz w:val="21"/>
                <w:szCs w:val="21"/>
                <w:lang w:val="en-US" w:eastAsia="zh-CN"/>
              </w:rPr>
              <w:t>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59.34</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50.08</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58</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61.73</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50.4</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cs="Times New Roman"/>
                <w:b w:val="0"/>
                <w:bCs/>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55.74</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46.48</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57</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59.43</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49.26</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579"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w:t>
            </w:r>
          </w:p>
        </w:tc>
        <w:tc>
          <w:tcPr>
            <w:tcW w:w="45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3F</w:t>
            </w:r>
          </w:p>
        </w:tc>
        <w:tc>
          <w:tcPr>
            <w:tcW w:w="69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58.61</w:t>
            </w:r>
          </w:p>
        </w:tc>
        <w:tc>
          <w:tcPr>
            <w:tcW w:w="855"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49.35</w:t>
            </w:r>
          </w:p>
        </w:tc>
        <w:tc>
          <w:tcPr>
            <w:tcW w:w="5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57</w:t>
            </w:r>
          </w:p>
        </w:tc>
        <w:tc>
          <w:tcPr>
            <w:tcW w:w="49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701"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60.89</w:t>
            </w:r>
          </w:p>
        </w:tc>
        <w:tc>
          <w:tcPr>
            <w:tcW w:w="87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55"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80"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i w:val="0"/>
                <w:iCs w:val="0"/>
                <w:color w:val="000000"/>
                <w:kern w:val="0"/>
                <w:sz w:val="21"/>
                <w:szCs w:val="21"/>
                <w:u w:val="none"/>
                <w:lang w:val="en-US" w:eastAsia="zh-CN" w:bidi="ar"/>
              </w:rPr>
              <w:t>散户居民</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40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56.48</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47.22</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58.09</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47.83</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6</w:t>
            </w:r>
            <w:r>
              <w:rPr>
                <w:rFonts w:hint="default" w:ascii="Times New Roman" w:hAnsi="Times New Roman" w:eastAsia="宋体" w:cs="Times New Roman"/>
                <w:b w:val="0"/>
                <w:bCs/>
                <w:kern w:val="0"/>
                <w:sz w:val="21"/>
                <w:szCs w:val="21"/>
                <w:lang w:val="en-US" w:eastAsia="zh-CN"/>
              </w:rPr>
              <w:t>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w:t>
            </w:r>
            <w:r>
              <w:rPr>
                <w:rFonts w:hint="default" w:ascii="Times New Roman" w:hAnsi="Times New Roman" w:eastAsia="宋体" w:cs="Times New Roman"/>
                <w:b w:val="0"/>
                <w:bCs/>
                <w:kern w:val="0"/>
                <w:sz w:val="21"/>
                <w:szCs w:val="21"/>
                <w:lang w:val="en-US" w:eastAsia="zh-CN"/>
              </w:rPr>
              <w:t>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i w:val="0"/>
                <w:iCs w:val="0"/>
                <w:color w:val="000000"/>
                <w:kern w:val="0"/>
                <w:sz w:val="21"/>
                <w:szCs w:val="21"/>
                <w:u w:val="none"/>
                <w:lang w:val="en-US" w:eastAsia="zh-CN" w:bidi="ar"/>
              </w:rPr>
              <w:t>党群服务中心</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2</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64.34</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55.08</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50</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42</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64.5</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55.29</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i w:val="0"/>
                <w:iCs w:val="0"/>
                <w:color w:val="000000"/>
                <w:kern w:val="0"/>
                <w:sz w:val="21"/>
                <w:szCs w:val="21"/>
                <w:u w:val="none"/>
                <w:lang w:val="en-US" w:eastAsia="zh-CN" w:bidi="ar"/>
              </w:rPr>
              <w:t>四合村居民</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67.61</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58.35</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45</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67.69</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58.45</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i w:val="0"/>
                <w:iCs w:val="0"/>
                <w:color w:val="000000"/>
                <w:kern w:val="0"/>
                <w:sz w:val="21"/>
                <w:szCs w:val="21"/>
                <w:u w:val="none"/>
                <w:lang w:val="en-US" w:eastAsia="zh-CN" w:bidi="ar"/>
              </w:rPr>
              <w:t>溪口村居民</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110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50.97</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56</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41</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57.19</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44.38</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溪口村居民</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90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54.24</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44.98</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51</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55.93</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48.53</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溪口村居民</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52.92</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43.66</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44</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43</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53.45</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46.35</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溪口村居</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50.14</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40.88</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50.64</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43.05</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i w:val="0"/>
                <w:iCs w:val="0"/>
                <w:color w:val="000000"/>
                <w:kern w:val="0"/>
                <w:sz w:val="21"/>
                <w:szCs w:val="21"/>
                <w:u w:val="none"/>
                <w:lang w:val="en-US" w:eastAsia="zh-CN" w:bidi="ar"/>
              </w:rPr>
              <w:t>福善村</w:t>
            </w: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52.47</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43.2</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41</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53.35</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44.6</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i w:val="0"/>
                <w:iCs w:val="0"/>
                <w:color w:val="000000"/>
                <w:kern w:val="0"/>
                <w:sz w:val="21"/>
                <w:szCs w:val="21"/>
                <w:u w:val="none"/>
                <w:lang w:val="en-US" w:eastAsia="zh-CN" w:bidi="ar"/>
              </w:rPr>
              <w:t>福善村</w:t>
            </w: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57.95</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48.69</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51</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40</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58.75</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49.24</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i w:val="0"/>
                <w:iCs w:val="0"/>
                <w:color w:val="000000"/>
                <w:kern w:val="0"/>
                <w:sz w:val="21"/>
                <w:szCs w:val="21"/>
                <w:u w:val="none"/>
                <w:lang w:val="en-US" w:eastAsia="zh-CN" w:bidi="ar"/>
              </w:rPr>
              <w:t>福善村</w:t>
            </w: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579"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5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690"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52.73</w:t>
            </w:r>
          </w:p>
        </w:tc>
        <w:tc>
          <w:tcPr>
            <w:tcW w:w="85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43.47</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49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40</w:t>
            </w:r>
          </w:p>
        </w:tc>
        <w:tc>
          <w:tcPr>
            <w:tcW w:w="7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55.88</w:t>
            </w:r>
          </w:p>
        </w:tc>
        <w:tc>
          <w:tcPr>
            <w:tcW w:w="874"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45.08</w:t>
            </w:r>
          </w:p>
        </w:tc>
        <w:tc>
          <w:tcPr>
            <w:tcW w:w="555"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480"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390"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r>
    </w:tbl>
    <w:p>
      <w:pPr>
        <w:pStyle w:val="11"/>
        <w:rPr>
          <w:rFonts w:hint="default" w:ascii="Times New Roman" w:hAnsi="Times New Roman" w:eastAsia="宋体" w:cs="Times New Roman"/>
          <w:b w:val="0"/>
          <w:bCs/>
          <w:sz w:val="21"/>
          <w:szCs w:val="21"/>
          <w:highlight w:val="none"/>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在不采取噪声防治措施的前提下，15处敏感点保护目标近期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中期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远期昼夜间声环境质量均不存在超标情况。项目道路营运期对沿线敏感点的影响不大。</w:t>
      </w:r>
    </w:p>
    <w:p>
      <w:pPr>
        <w:pStyle w:val="4"/>
        <w:bidi w:val="0"/>
        <w:rPr>
          <w:rFonts w:hint="default"/>
          <w:lang w:eastAsia="zh-CN"/>
        </w:rPr>
      </w:pPr>
      <w:bookmarkStart w:id="123" w:name="_Toc5049"/>
      <w:r>
        <w:rPr>
          <w:rFonts w:hint="default"/>
          <w:lang w:val="en-US" w:eastAsia="zh-CN"/>
        </w:rPr>
        <w:t>4</w:t>
      </w:r>
      <w:r>
        <w:rPr>
          <w:rFonts w:hint="default"/>
          <w:lang w:eastAsia="zh-CN"/>
        </w:rPr>
        <w:t>.</w:t>
      </w:r>
      <w:r>
        <w:rPr>
          <w:rFonts w:hint="default"/>
          <w:lang w:val="en-US" w:eastAsia="zh-CN"/>
        </w:rPr>
        <w:t>5.固体废物</w:t>
      </w:r>
      <w:r>
        <w:rPr>
          <w:rFonts w:hint="default"/>
          <w:lang w:eastAsia="zh-CN"/>
        </w:rPr>
        <w:t>影响</w:t>
      </w:r>
      <w:r>
        <w:rPr>
          <w:rFonts w:hint="default"/>
          <w:lang w:val="en-US" w:eastAsia="zh-CN"/>
        </w:rPr>
        <w:t>分析</w:t>
      </w:r>
      <w:bookmarkEnd w:id="123"/>
    </w:p>
    <w:p>
      <w:pPr>
        <w:pStyle w:val="5"/>
        <w:keepNext w:val="0"/>
        <w:keepLines w:val="0"/>
        <w:pageBreakBefore w:val="0"/>
        <w:widowControl w:val="0"/>
        <w:kinsoku/>
        <w:wordWrap/>
        <w:overflowPunct/>
        <w:topLinePunct w:val="0"/>
        <w:autoSpaceDE w:val="0"/>
        <w:autoSpaceDN w:val="0"/>
        <w:bidi w:val="0"/>
        <w:adjustRightInd/>
        <w:snapToGrid/>
        <w:spacing w:line="360" w:lineRule="auto"/>
        <w:ind w:left="0" w:firstLine="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sz w:val="24"/>
          <w:szCs w:val="24"/>
          <w:lang w:val="en-US" w:eastAsia="zh-CN"/>
        </w:rPr>
        <w:t xml:space="preserve">4.5.1.施工期固体废物影响分析 </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本项目施工期固废主要包括废弃土石方</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建筑垃圾</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施工人员生活垃圾。</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（1）废弃土石方</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本工程废弃土石方主要来源于路基开挖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现有道路改移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桥梁施工等过程，若处置不当将会直接占压沿线的林地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耕地等，评价要求建设单位对产生的弃渣尽可能综合利用，不能综合利用的弃渣运至本项目工可设计的弃渣场，本次环评建议建设单位在施工期间，严格按照水土保持方案报告要求，做好弃渣拦挡和弃渣场迹地恢复，减小工程弃渣</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弃石对环境的影响。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（2）建筑垃圾</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zh-CN" w:eastAsia="zh-CN" w:bidi="zh-CN"/>
        </w:rPr>
      </w:pPr>
      <w:r>
        <w:rPr>
          <w:rFonts w:hint="default" w:ascii="Times New Roman" w:hAnsi="Times New Roman" w:eastAsia="宋体" w:cs="Times New Roman"/>
          <w:b w:val="0"/>
          <w:bCs w:val="0"/>
          <w:sz w:val="24"/>
          <w:szCs w:val="24"/>
          <w:lang w:val="en-US" w:eastAsia="zh-CN" w:bidi="zh-CN"/>
        </w:rPr>
        <w:t>施工期应加强建筑垃圾管理；对产生的建筑垃圾，要尽量回收和利用其中的有用部分；剩余建筑垃圾要及时清运，可送到当地的建筑垃圾处置场或作妥善处置；不宜长时间堆积，不得在建筑工地外擅自堆放，做到工序完工场地清洁。彻底清理拆迁及施工场地等临时工程撤离产生的建筑垃圾，运至指定的建筑垃圾处置场或其他指定场所处置。</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（3）生活垃圾</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项目施工期间施工人员按照100人计，产生的生活垃圾按照0.5kg/（人·d）计，则在施工期生活垃圾产生量为50kg/d。在施工场地设置生活垃圾集中收集点，经集中收集后由当地环卫部门统一处置，不会对当地环境产生影响。</w:t>
      </w:r>
    </w:p>
    <w:p>
      <w:pPr>
        <w:pStyle w:val="5"/>
        <w:keepNext w:val="0"/>
        <w:keepLines w:val="0"/>
        <w:pageBreakBefore w:val="0"/>
        <w:widowControl w:val="0"/>
        <w:kinsoku/>
        <w:wordWrap/>
        <w:overflowPunct/>
        <w:topLinePunct w:val="0"/>
        <w:autoSpaceDE w:val="0"/>
        <w:autoSpaceDN w:val="0"/>
        <w:bidi w:val="0"/>
        <w:adjustRightInd/>
        <w:snapToGrid/>
        <w:spacing w:line="360" w:lineRule="auto"/>
        <w:ind w:left="0" w:firstLine="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sz w:val="24"/>
          <w:szCs w:val="24"/>
          <w:lang w:val="en-US" w:eastAsia="zh-CN"/>
        </w:rPr>
        <w:t xml:space="preserve">4.5.2.运营期固体废物影响分析 </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由于项目道路不设置养护工区及服务区，因此营运期产生的固体废弃物主要为车辆及行人通行过程中沿途洒落的少量生活垃圾。生活垃圾经环卫工人集中收集后由当地环卫部门统一处置，不会对当地环境产生影响。</w:t>
      </w:r>
    </w:p>
    <w:p>
      <w:pPr>
        <w:pStyle w:val="4"/>
        <w:bidi w:val="0"/>
        <w:rPr>
          <w:rFonts w:hint="default"/>
          <w:lang w:eastAsia="zh-CN"/>
        </w:rPr>
      </w:pPr>
      <w:bookmarkStart w:id="124" w:name="_Toc15624"/>
      <w:r>
        <w:rPr>
          <w:rFonts w:hint="default"/>
          <w:lang w:val="en-US" w:eastAsia="zh-CN"/>
        </w:rPr>
        <w:t>4</w:t>
      </w:r>
      <w:r>
        <w:rPr>
          <w:rFonts w:hint="default"/>
          <w:lang w:eastAsia="zh-CN"/>
        </w:rPr>
        <w:t>.</w:t>
      </w:r>
      <w:r>
        <w:rPr>
          <w:rFonts w:hint="default"/>
          <w:lang w:val="en-US" w:eastAsia="zh-CN"/>
        </w:rPr>
        <w:t>6.环境风险</w:t>
      </w:r>
      <w:r>
        <w:rPr>
          <w:rFonts w:hint="default"/>
          <w:lang w:eastAsia="zh-CN"/>
        </w:rPr>
        <w:t>影响</w:t>
      </w:r>
      <w:r>
        <w:rPr>
          <w:rFonts w:hint="default"/>
          <w:lang w:val="en-US" w:eastAsia="zh-CN"/>
        </w:rPr>
        <w:t>分析</w:t>
      </w:r>
      <w:bookmarkEnd w:id="124"/>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（1）风险事故识别</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本工程</w:t>
      </w:r>
      <w:r>
        <w:rPr>
          <w:rFonts w:hint="default" w:ascii="Times New Roman" w:hAnsi="Times New Roman" w:cs="Times New Roman"/>
          <w:b w:val="0"/>
          <w:bCs w:val="0"/>
          <w:sz w:val="24"/>
          <w:szCs w:val="24"/>
          <w:lang w:val="en-US" w:eastAsia="zh-CN" w:bidi="zh-CN"/>
        </w:rPr>
        <w:t>施工不使用炸药。主要风险事故在</w:t>
      </w:r>
      <w:r>
        <w:rPr>
          <w:rFonts w:hint="default" w:ascii="Times New Roman" w:hAnsi="Times New Roman" w:eastAsia="宋体" w:cs="Times New Roman"/>
          <w:b w:val="0"/>
          <w:bCs w:val="0"/>
          <w:sz w:val="24"/>
          <w:szCs w:val="24"/>
          <w:lang w:val="en-US" w:eastAsia="zh-CN" w:bidi="zh-CN"/>
        </w:rPr>
        <w:t>投入使用后，在正常运行的情况下，本身不会对环境造成不良影响。环境风险主要来源于交通事故后对大气及地表水产生影响。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由于公路运输危险品种类较多，危险程度不一，因而交通事故的严重性及危险程度也相差很大。一般来说，交通事故中一般事故所占比重较大，重大事故次之，特大事故发生</w:t>
      </w:r>
      <w:r>
        <w:rPr>
          <w:rFonts w:hint="eastAsia" w:ascii="Times New Roman" w:hAnsi="Times New Roman" w:cs="Times New Roman"/>
          <w:b w:val="0"/>
          <w:bCs w:val="0"/>
          <w:sz w:val="24"/>
          <w:szCs w:val="24"/>
          <w:lang w:val="en-US" w:eastAsia="zh-CN" w:bidi="zh-CN"/>
        </w:rPr>
        <w:t>概率</w:t>
      </w:r>
      <w:r>
        <w:rPr>
          <w:rFonts w:hint="default" w:ascii="Times New Roman" w:hAnsi="Times New Roman" w:eastAsia="宋体" w:cs="Times New Roman"/>
          <w:b w:val="0"/>
          <w:bCs w:val="0"/>
          <w:sz w:val="24"/>
          <w:szCs w:val="24"/>
          <w:lang w:val="en-US" w:eastAsia="zh-CN" w:bidi="zh-CN"/>
        </w:rPr>
        <w:t>最小。就危险品运输车辆的交通事故而言，运送易爆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易燃品的交通事故，主要是引起爆炸而可能导致部分有毒气体污染空气，或者损坏桥梁等建筑物，致使交通堵塞。最大的危害为当危险品运输车辆通过时出现翻车，导致事故车辆掉入河中，从而使运输的固态</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液态危险品如柴油</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汽油等泄漏而污染河流水质。对此类环境风险事故的防范尤为重要。</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（2）敏感路段识别</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根据工程沿线水环境保护目标识别结果，工程沿线2处跨越渠江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eastAsia="宋体" w:cs="Times New Roman"/>
          <w:b w:val="0"/>
          <w:bCs w:val="0"/>
          <w:sz w:val="24"/>
          <w:szCs w:val="24"/>
          <w:lang w:val="en-US" w:eastAsia="zh-CN" w:bidi="zh-CN"/>
        </w:rPr>
        <w:t>，为本项目环境风险敏感路段。根据现场调查并查阅相关资料，本项目跨越</w:t>
      </w:r>
      <w:r>
        <w:rPr>
          <w:rFonts w:hint="eastAsia" w:ascii="Times New Roman" w:hAnsi="Times New Roman" w:cs="Times New Roman"/>
          <w:b w:val="0"/>
          <w:bCs w:val="0"/>
          <w:sz w:val="24"/>
          <w:szCs w:val="24"/>
          <w:lang w:val="en-US" w:eastAsia="zh-CN" w:bidi="zh-CN"/>
        </w:rPr>
        <w:t>下游1500m范围内无</w:t>
      </w:r>
      <w:r>
        <w:rPr>
          <w:rFonts w:hint="default" w:ascii="Times New Roman" w:hAnsi="Times New Roman" w:eastAsia="宋体" w:cs="Times New Roman"/>
          <w:b w:val="0"/>
          <w:bCs w:val="0"/>
          <w:sz w:val="24"/>
          <w:szCs w:val="24"/>
          <w:lang w:val="en-US" w:eastAsia="zh-CN" w:bidi="zh-CN"/>
        </w:rPr>
        <w:t>饮用水源保护区。敏感路段具体详情见下表：</w:t>
      </w:r>
    </w:p>
    <w:p>
      <w:pPr>
        <w:numPr>
          <w:ilvl w:val="-1"/>
          <w:numId w:val="0"/>
        </w:numPr>
        <w:tabs>
          <w:tab w:val="left" w:pos="0"/>
        </w:tabs>
        <w:autoSpaceDE w:val="0"/>
        <w:autoSpaceDN w:val="0"/>
        <w:adjustRightInd w:val="0"/>
        <w:ind w:left="0" w:leftChars="0" w:firstLine="0" w:firstLineChars="0"/>
        <w:jc w:val="center"/>
        <w:rPr>
          <w:rFonts w:hint="default" w:ascii="Times New Roman" w:hAnsi="Times New Roman" w:eastAsia="宋体" w:cs="Times New Roman"/>
          <w:b/>
          <w:bCs w:val="0"/>
          <w:kern w:val="0"/>
          <w:sz w:val="21"/>
          <w:szCs w:val="21"/>
          <w:lang w:val="en-US" w:eastAsia="zh-CN"/>
        </w:rPr>
      </w:pPr>
      <w:r>
        <w:rPr>
          <w:rFonts w:hint="default" w:ascii="Times New Roman" w:hAnsi="Times New Roman" w:eastAsia="宋体" w:cs="Times New Roman"/>
          <w:b/>
          <w:bCs w:val="0"/>
          <w:kern w:val="0"/>
          <w:sz w:val="21"/>
          <w:szCs w:val="21"/>
          <w:lang w:val="en-US" w:eastAsia="zh-CN"/>
        </w:rPr>
        <w:t>表4</w:t>
      </w:r>
      <w:r>
        <w:rPr>
          <w:rFonts w:hint="eastAsia" w:ascii="Times New Roman" w:hAnsi="Times New Roman" w:cs="Times New Roman"/>
          <w:b/>
          <w:bCs w:val="0"/>
          <w:kern w:val="0"/>
          <w:sz w:val="21"/>
          <w:szCs w:val="21"/>
          <w:lang w:val="en-US" w:eastAsia="zh-CN"/>
        </w:rPr>
        <w:t>.6-1</w:t>
      </w:r>
      <w:r>
        <w:rPr>
          <w:rFonts w:hint="default" w:ascii="Times New Roman" w:hAnsi="Times New Roman" w:eastAsia="宋体" w:cs="Times New Roman"/>
          <w:b/>
          <w:bCs w:val="0"/>
          <w:kern w:val="0"/>
          <w:sz w:val="21"/>
          <w:szCs w:val="21"/>
          <w:lang w:val="en-US" w:eastAsia="zh-CN"/>
        </w:rPr>
        <w:t xml:space="preserve"> 环境风险事故敏感路段情况一览表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477"/>
        <w:gridCol w:w="1274"/>
        <w:gridCol w:w="1359"/>
        <w:gridCol w:w="920"/>
        <w:gridCol w:w="2001"/>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序号</w:t>
            </w:r>
          </w:p>
        </w:tc>
        <w:tc>
          <w:tcPr>
            <w:tcW w:w="1290"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桩号</w:t>
            </w:r>
          </w:p>
        </w:tc>
        <w:tc>
          <w:tcPr>
            <w:tcW w:w="1110"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桥梁名称</w:t>
            </w:r>
          </w:p>
        </w:tc>
        <w:tc>
          <w:tcPr>
            <w:tcW w:w="1185"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保护目标</w:t>
            </w:r>
          </w:p>
        </w:tc>
        <w:tc>
          <w:tcPr>
            <w:tcW w:w="795"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长度（m）</w:t>
            </w:r>
          </w:p>
        </w:tc>
        <w:tc>
          <w:tcPr>
            <w:tcW w:w="1756"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与本工程关系</w:t>
            </w:r>
          </w:p>
        </w:tc>
        <w:tc>
          <w:tcPr>
            <w:tcW w:w="1151"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占全线</w:t>
            </w:r>
            <w:r>
              <w:rPr>
                <w:rFonts w:hint="eastAsia" w:ascii="Times New Roman" w:hAnsi="Times New Roman" w:cs="Times New Roman"/>
                <w:b w:val="0"/>
                <w:bCs/>
                <w:sz w:val="21"/>
                <w:szCs w:val="21"/>
                <w:highlight w:val="none"/>
                <w:vertAlign w:val="baseline"/>
                <w:lang w:val="en-US" w:eastAsia="zh-CN"/>
              </w:rPr>
              <w:t>比例</w:t>
            </w:r>
            <w:r>
              <w:rPr>
                <w:rFonts w:hint="default" w:ascii="Times New Roman" w:hAnsi="Times New Roman" w:eastAsia="宋体" w:cs="Times New Roman"/>
                <w:b w:val="0"/>
                <w:bCs/>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1</w:t>
            </w:r>
          </w:p>
        </w:tc>
        <w:tc>
          <w:tcPr>
            <w:tcW w:w="1290"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 xml:space="preserve"> K2+915.0</w:t>
            </w:r>
          </w:p>
        </w:tc>
        <w:tc>
          <w:tcPr>
            <w:tcW w:w="1110"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四合大桥</w:t>
            </w:r>
          </w:p>
        </w:tc>
        <w:tc>
          <w:tcPr>
            <w:tcW w:w="1185"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rPr>
            </w:pPr>
            <w:r>
              <w:rPr>
                <w:rFonts w:hint="eastAsia" w:ascii="Times New Roman" w:hAnsi="Times New Roman" w:cs="Times New Roman"/>
                <w:b w:val="0"/>
                <w:bCs/>
                <w:sz w:val="21"/>
                <w:szCs w:val="21"/>
                <w:highlight w:val="none"/>
                <w:vertAlign w:val="baseline"/>
                <w:lang w:val="en-US" w:eastAsia="zh-CN"/>
              </w:rPr>
              <w:t>知县坝河</w:t>
            </w:r>
          </w:p>
        </w:tc>
        <w:tc>
          <w:tcPr>
            <w:tcW w:w="795"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108</w:t>
            </w:r>
          </w:p>
        </w:tc>
        <w:tc>
          <w:tcPr>
            <w:tcW w:w="1756"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以桥梁形式跨越</w:t>
            </w:r>
          </w:p>
        </w:tc>
        <w:tc>
          <w:tcPr>
            <w:tcW w:w="1151"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2</w:t>
            </w:r>
          </w:p>
        </w:tc>
        <w:tc>
          <w:tcPr>
            <w:tcW w:w="1290"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 xml:space="preserve"> K3+775.0</w:t>
            </w:r>
          </w:p>
        </w:tc>
        <w:tc>
          <w:tcPr>
            <w:tcW w:w="1110"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临巴中桥</w:t>
            </w:r>
          </w:p>
        </w:tc>
        <w:tc>
          <w:tcPr>
            <w:tcW w:w="1185"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rPr>
            </w:pPr>
            <w:r>
              <w:rPr>
                <w:rFonts w:hint="eastAsia" w:ascii="Times New Roman" w:hAnsi="Times New Roman" w:cs="Times New Roman"/>
                <w:b w:val="0"/>
                <w:bCs/>
                <w:sz w:val="21"/>
                <w:szCs w:val="21"/>
                <w:highlight w:val="none"/>
                <w:vertAlign w:val="baseline"/>
                <w:lang w:val="en-US" w:eastAsia="zh-CN"/>
              </w:rPr>
              <w:t>四合溪</w:t>
            </w:r>
          </w:p>
        </w:tc>
        <w:tc>
          <w:tcPr>
            <w:tcW w:w="795"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88</w:t>
            </w:r>
          </w:p>
        </w:tc>
        <w:tc>
          <w:tcPr>
            <w:tcW w:w="1756"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以桥梁形式跨越</w:t>
            </w:r>
          </w:p>
        </w:tc>
        <w:tc>
          <w:tcPr>
            <w:tcW w:w="1151"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2.1</w:t>
            </w:r>
          </w:p>
        </w:tc>
      </w:tr>
    </w:tbl>
    <w:p>
      <w:pPr>
        <w:spacing w:line="360" w:lineRule="auto"/>
        <w:ind w:firstLine="480" w:firstLineChars="200"/>
        <w:jc w:val="left"/>
        <w:rPr>
          <w:rFonts w:hint="default" w:ascii="Times New Roman" w:hAnsi="Times New Roman" w:eastAsia="宋体" w:cs="Times New Roman"/>
          <w:b w:val="0"/>
          <w:bCs/>
          <w:szCs w:val="21"/>
          <w:highlight w:val="none"/>
          <w:lang w:eastAsia="zh-CN"/>
        </w:rPr>
      </w:pP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（3）敏感路段环境风险事故概率分析</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本次评价根据资料并结合预测交通量对重要敏感路段进行危险品运输事故污染风险发生概率进行估算，对公路运输过程中污染事故概率按以下经验公式，选择跨越敏感区域路段来计算：</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m:oMathPara>
        <m:oMath>
          <m:r>
            <m:rPr>
              <m:sty m:val="p"/>
            </m:rPr>
            <w:rPr>
              <w:rFonts w:hint="default" w:ascii="Cambria Math" w:hAnsi="Cambria Math" w:eastAsia="宋体" w:cs="Times New Roman"/>
              <w:sz w:val="24"/>
              <w:szCs w:val="24"/>
              <w:lang w:val="en-US" w:eastAsia="zh-CN" w:bidi="zh-CN"/>
            </w:rPr>
            <m:t>P=</m:t>
          </m:r>
          <m:nary>
            <m:naryPr>
              <m:chr m:val="∏"/>
              <m:limLoc m:val="undOvr"/>
              <m:ctrlPr>
                <w:rPr>
                  <w:rFonts w:hint="default" w:ascii="Cambria Math" w:hAnsi="Cambria Math" w:eastAsia="宋体" w:cs="Times New Roman"/>
                  <w:b w:val="0"/>
                  <w:bCs w:val="0"/>
                  <w:sz w:val="24"/>
                  <w:szCs w:val="24"/>
                  <w:lang w:val="en-US" w:eastAsia="zh-CN" w:bidi="zh-CN"/>
                </w:rPr>
              </m:ctrlPr>
            </m:naryPr>
            <m:sub>
              <m:r>
                <m:rPr>
                  <m:sty m:val="p"/>
                </m:rPr>
                <w:rPr>
                  <w:rFonts w:hint="default" w:ascii="Cambria Math" w:hAnsi="Cambria Math" w:eastAsia="宋体" w:cs="Times New Roman"/>
                  <w:sz w:val="24"/>
                  <w:szCs w:val="24"/>
                  <w:lang w:val="en-US" w:eastAsia="zh-CN" w:bidi="zh-CN"/>
                </w:rPr>
                <m:t>i=1</m:t>
              </m:r>
              <m:ctrlPr>
                <w:rPr>
                  <w:rFonts w:hint="default" w:ascii="Cambria Math" w:hAnsi="Cambria Math" w:eastAsia="宋体" w:cs="Times New Roman"/>
                  <w:b w:val="0"/>
                  <w:bCs w:val="0"/>
                  <w:sz w:val="24"/>
                  <w:szCs w:val="24"/>
                  <w:lang w:val="en-US" w:eastAsia="zh-CN" w:bidi="zh-CN"/>
                </w:rPr>
              </m:ctrlPr>
            </m:sub>
            <m:sup>
              <m:r>
                <m:rPr>
                  <m:sty m:val="p"/>
                </m:rPr>
                <w:rPr>
                  <w:rFonts w:hint="default" w:ascii="Cambria Math" w:hAnsi="Cambria Math" w:eastAsia="宋体" w:cs="Times New Roman"/>
                  <w:sz w:val="24"/>
                  <w:szCs w:val="24"/>
                  <w:lang w:val="en-US" w:eastAsia="zh-CN" w:bidi="zh-CN"/>
                </w:rPr>
                <m:t>n</m:t>
              </m:r>
              <m:ctrlPr>
                <w:rPr>
                  <w:rFonts w:hint="default" w:ascii="Cambria Math" w:hAnsi="Cambria Math" w:eastAsia="宋体" w:cs="Times New Roman"/>
                  <w:b w:val="0"/>
                  <w:bCs w:val="0"/>
                  <w:sz w:val="24"/>
                  <w:szCs w:val="24"/>
                  <w:lang w:val="en-US" w:eastAsia="zh-CN" w:bidi="zh-CN"/>
                </w:rPr>
              </m:ctrlPr>
            </m:sup>
            <m:e>
              <m:sSub>
                <m:sSubPr>
                  <m:ctrlPr>
                    <w:rPr>
                      <w:rFonts w:hint="default" w:ascii="Cambria Math" w:hAnsi="Cambria Math" w:eastAsia="宋体" w:cs="Times New Roman"/>
                      <w:b w:val="0"/>
                      <w:bCs w:val="0"/>
                      <w:sz w:val="24"/>
                      <w:szCs w:val="24"/>
                      <w:lang w:val="en-US" w:eastAsia="zh-CN" w:bidi="zh-CN"/>
                    </w:rPr>
                  </m:ctrlPr>
                </m:sSubPr>
                <m:e>
                  <m:r>
                    <m:rPr>
                      <m:sty m:val="p"/>
                    </m:rPr>
                    <w:rPr>
                      <w:rFonts w:hint="default" w:ascii="Cambria Math" w:hAnsi="Cambria Math" w:eastAsia="宋体" w:cs="Times New Roman"/>
                      <w:sz w:val="24"/>
                      <w:szCs w:val="24"/>
                      <w:lang w:val="en-US" w:eastAsia="zh-CN" w:bidi="zh-CN"/>
                    </w:rPr>
                    <m:t>Q</m:t>
                  </m:r>
                  <m:ctrlPr>
                    <w:rPr>
                      <w:rFonts w:hint="default" w:ascii="Cambria Math" w:hAnsi="Cambria Math" w:eastAsia="宋体" w:cs="Times New Roman"/>
                      <w:b w:val="0"/>
                      <w:bCs w:val="0"/>
                      <w:sz w:val="24"/>
                      <w:szCs w:val="24"/>
                      <w:lang w:val="en-US" w:eastAsia="zh-CN" w:bidi="zh-CN"/>
                    </w:rPr>
                  </m:ctrlPr>
                </m:e>
                <m:sub>
                  <m:r>
                    <m:rPr>
                      <m:sty m:val="p"/>
                    </m:rPr>
                    <w:rPr>
                      <w:rFonts w:hint="default" w:ascii="Cambria Math" w:hAnsi="Cambria Math" w:eastAsia="宋体" w:cs="Times New Roman"/>
                      <w:sz w:val="24"/>
                      <w:szCs w:val="24"/>
                      <w:lang w:val="en-US" w:eastAsia="zh-CN" w:bidi="zh-CN"/>
                    </w:rPr>
                    <m:t>i</m:t>
                  </m:r>
                  <m:ctrlPr>
                    <w:rPr>
                      <w:rFonts w:hint="default" w:ascii="Cambria Math" w:hAnsi="Cambria Math" w:eastAsia="宋体" w:cs="Times New Roman"/>
                      <w:b w:val="0"/>
                      <w:bCs w:val="0"/>
                      <w:sz w:val="24"/>
                      <w:szCs w:val="24"/>
                      <w:lang w:val="en-US" w:eastAsia="zh-CN" w:bidi="zh-CN"/>
                    </w:rPr>
                  </m:ctrlPr>
                </m:sub>
              </m:sSub>
              <m:r>
                <m:rPr>
                  <m:sty m:val="p"/>
                </m:rPr>
                <w:rPr>
                  <w:rFonts w:hint="default" w:ascii="Cambria Math" w:hAnsi="Cambria Math" w:eastAsia="宋体" w:cs="Times New Roman"/>
                  <w:sz w:val="24"/>
                  <w:szCs w:val="24"/>
                  <w:lang w:val="en-US" w:eastAsia="zh-CN" w:bidi="zh-CN"/>
                </w:rPr>
                <m:t>=</m:t>
              </m:r>
              <m:sSub>
                <m:sSubPr>
                  <m:ctrlPr>
                    <w:rPr>
                      <w:rFonts w:hint="default" w:ascii="Cambria Math" w:hAnsi="Cambria Math" w:eastAsia="宋体" w:cs="Times New Roman"/>
                      <w:b w:val="0"/>
                      <w:bCs w:val="0"/>
                      <w:sz w:val="24"/>
                      <w:szCs w:val="24"/>
                      <w:lang w:val="en-US" w:eastAsia="zh-CN" w:bidi="zh-CN"/>
                    </w:rPr>
                  </m:ctrlPr>
                </m:sSubPr>
                <m:e>
                  <m:r>
                    <m:rPr>
                      <m:sty m:val="p"/>
                    </m:rPr>
                    <w:rPr>
                      <w:rFonts w:hint="default" w:ascii="Cambria Math" w:hAnsi="Cambria Math" w:eastAsia="宋体" w:cs="Times New Roman"/>
                      <w:sz w:val="24"/>
                      <w:szCs w:val="24"/>
                      <w:lang w:val="en-US" w:eastAsia="zh-CN" w:bidi="zh-CN"/>
                    </w:rPr>
                    <m:t>Q</m:t>
                  </m:r>
                  <m:ctrlPr>
                    <w:rPr>
                      <w:rFonts w:hint="default" w:ascii="Cambria Math" w:hAnsi="Cambria Math" w:eastAsia="宋体" w:cs="Times New Roman"/>
                      <w:b w:val="0"/>
                      <w:bCs w:val="0"/>
                      <w:sz w:val="24"/>
                      <w:szCs w:val="24"/>
                      <w:lang w:val="en-US" w:eastAsia="zh-CN" w:bidi="zh-CN"/>
                    </w:rPr>
                  </m:ctrlPr>
                </m:e>
                <m:sub>
                  <m:r>
                    <m:rPr>
                      <m:sty m:val="p"/>
                    </m:rPr>
                    <w:rPr>
                      <w:rFonts w:hint="default" w:ascii="Cambria Math" w:hAnsi="Cambria Math" w:eastAsia="宋体" w:cs="Times New Roman"/>
                      <w:sz w:val="24"/>
                      <w:szCs w:val="24"/>
                      <w:lang w:val="en-US" w:eastAsia="zh-CN" w:bidi="zh-CN"/>
                    </w:rPr>
                    <m:t>1</m:t>
                  </m:r>
                  <m:ctrlPr>
                    <w:rPr>
                      <w:rFonts w:hint="default" w:ascii="Cambria Math" w:hAnsi="Cambria Math" w:eastAsia="宋体" w:cs="Times New Roman"/>
                      <w:b w:val="0"/>
                      <w:bCs w:val="0"/>
                      <w:sz w:val="24"/>
                      <w:szCs w:val="24"/>
                      <w:lang w:val="en-US" w:eastAsia="zh-CN" w:bidi="zh-CN"/>
                    </w:rPr>
                  </m:ctrlPr>
                </m:sub>
              </m:sSub>
              <m:r>
                <m:rPr>
                  <m:sty m:val="p"/>
                </m:rPr>
                <w:rPr>
                  <w:rFonts w:hint="default" w:ascii="Cambria Math" w:hAnsi="Cambria Math" w:eastAsia="宋体" w:cs="Times New Roman"/>
                  <w:sz w:val="24"/>
                  <w:szCs w:val="24"/>
                  <w:lang w:val="en-US" w:eastAsia="zh-CN" w:bidi="zh-CN"/>
                </w:rPr>
                <m:t>×</m:t>
              </m:r>
              <m:sSub>
                <m:sSubPr>
                  <m:ctrlPr>
                    <w:rPr>
                      <w:rFonts w:hint="default" w:ascii="Cambria Math" w:hAnsi="Cambria Math" w:eastAsia="宋体" w:cs="Times New Roman"/>
                      <w:b w:val="0"/>
                      <w:bCs w:val="0"/>
                      <w:sz w:val="24"/>
                      <w:szCs w:val="24"/>
                      <w:lang w:val="en-US" w:eastAsia="zh-CN" w:bidi="zh-CN"/>
                    </w:rPr>
                  </m:ctrlPr>
                </m:sSubPr>
                <m:e>
                  <m:r>
                    <m:rPr>
                      <m:sty m:val="p"/>
                    </m:rPr>
                    <w:rPr>
                      <w:rFonts w:hint="default" w:ascii="Cambria Math" w:hAnsi="Cambria Math" w:eastAsia="宋体" w:cs="Times New Roman"/>
                      <w:sz w:val="24"/>
                      <w:szCs w:val="24"/>
                      <w:lang w:val="en-US" w:eastAsia="zh-CN" w:bidi="zh-CN"/>
                    </w:rPr>
                    <m:t>Q</m:t>
                  </m:r>
                  <m:ctrlPr>
                    <w:rPr>
                      <w:rFonts w:hint="default" w:ascii="Cambria Math" w:hAnsi="Cambria Math" w:eastAsia="宋体" w:cs="Times New Roman"/>
                      <w:b w:val="0"/>
                      <w:bCs w:val="0"/>
                      <w:sz w:val="24"/>
                      <w:szCs w:val="24"/>
                      <w:lang w:val="en-US" w:eastAsia="zh-CN" w:bidi="zh-CN"/>
                    </w:rPr>
                  </m:ctrlPr>
                </m:e>
                <m:sub>
                  <m:r>
                    <m:rPr>
                      <m:sty m:val="p"/>
                    </m:rPr>
                    <w:rPr>
                      <w:rFonts w:hint="default" w:ascii="Cambria Math" w:hAnsi="Cambria Math" w:eastAsia="宋体" w:cs="Times New Roman"/>
                      <w:sz w:val="24"/>
                      <w:szCs w:val="24"/>
                      <w:lang w:val="en-US" w:eastAsia="zh-CN" w:bidi="zh-CN"/>
                    </w:rPr>
                    <m:t>2</m:t>
                  </m:r>
                  <m:ctrlPr>
                    <w:rPr>
                      <w:rFonts w:hint="default" w:ascii="Cambria Math" w:hAnsi="Cambria Math" w:eastAsia="宋体" w:cs="Times New Roman"/>
                      <w:b w:val="0"/>
                      <w:bCs w:val="0"/>
                      <w:sz w:val="24"/>
                      <w:szCs w:val="24"/>
                      <w:lang w:val="en-US" w:eastAsia="zh-CN" w:bidi="zh-CN"/>
                    </w:rPr>
                  </m:ctrlPr>
                </m:sub>
              </m:sSub>
              <m:r>
                <m:rPr>
                  <m:sty m:val="p"/>
                </m:rPr>
                <w:rPr>
                  <w:rFonts w:hint="default" w:ascii="Cambria Math" w:hAnsi="Cambria Math" w:eastAsia="宋体" w:cs="Times New Roman"/>
                  <w:sz w:val="24"/>
                  <w:szCs w:val="24"/>
                  <w:lang w:val="en-US" w:eastAsia="zh-CN" w:bidi="zh-CN"/>
                </w:rPr>
                <m:t>×</m:t>
              </m:r>
              <m:sSub>
                <m:sSubPr>
                  <m:ctrlPr>
                    <w:rPr>
                      <w:rFonts w:hint="default" w:ascii="Cambria Math" w:hAnsi="Cambria Math" w:eastAsia="宋体" w:cs="Times New Roman"/>
                      <w:b w:val="0"/>
                      <w:bCs w:val="0"/>
                      <w:sz w:val="24"/>
                      <w:szCs w:val="24"/>
                      <w:lang w:val="en-US" w:eastAsia="zh-CN" w:bidi="zh-CN"/>
                    </w:rPr>
                  </m:ctrlPr>
                </m:sSubPr>
                <m:e>
                  <m:r>
                    <m:rPr>
                      <m:sty m:val="p"/>
                    </m:rPr>
                    <w:rPr>
                      <w:rFonts w:hint="default" w:ascii="Cambria Math" w:hAnsi="Cambria Math" w:eastAsia="宋体" w:cs="Times New Roman"/>
                      <w:sz w:val="24"/>
                      <w:szCs w:val="24"/>
                      <w:lang w:val="en-US" w:eastAsia="zh-CN" w:bidi="zh-CN"/>
                    </w:rPr>
                    <m:t>Q</m:t>
                  </m:r>
                  <m:ctrlPr>
                    <w:rPr>
                      <w:rFonts w:hint="default" w:ascii="Cambria Math" w:hAnsi="Cambria Math" w:eastAsia="宋体" w:cs="Times New Roman"/>
                      <w:b w:val="0"/>
                      <w:bCs w:val="0"/>
                      <w:sz w:val="24"/>
                      <w:szCs w:val="24"/>
                      <w:lang w:val="en-US" w:eastAsia="zh-CN" w:bidi="zh-CN"/>
                    </w:rPr>
                  </m:ctrlPr>
                </m:e>
                <m:sub>
                  <m:r>
                    <m:rPr>
                      <m:sty m:val="p"/>
                    </m:rPr>
                    <w:rPr>
                      <w:rFonts w:hint="default" w:ascii="Cambria Math" w:hAnsi="Cambria Math" w:eastAsia="宋体" w:cs="Times New Roman"/>
                      <w:sz w:val="24"/>
                      <w:szCs w:val="24"/>
                      <w:lang w:val="en-US" w:eastAsia="zh-CN" w:bidi="zh-CN"/>
                    </w:rPr>
                    <m:t>3</m:t>
                  </m:r>
                  <m:ctrlPr>
                    <w:rPr>
                      <w:rFonts w:hint="default" w:ascii="Cambria Math" w:hAnsi="Cambria Math" w:eastAsia="宋体" w:cs="Times New Roman"/>
                      <w:b w:val="0"/>
                      <w:bCs w:val="0"/>
                      <w:sz w:val="24"/>
                      <w:szCs w:val="24"/>
                      <w:lang w:val="en-US" w:eastAsia="zh-CN" w:bidi="zh-CN"/>
                    </w:rPr>
                  </m:ctrlPr>
                </m:sub>
              </m:sSub>
              <m:r>
                <m:rPr>
                  <m:sty m:val="p"/>
                </m:rPr>
                <w:rPr>
                  <w:rFonts w:hint="default" w:ascii="Cambria Math" w:hAnsi="Cambria Math" w:eastAsia="宋体" w:cs="Times New Roman"/>
                  <w:sz w:val="24"/>
                  <w:szCs w:val="24"/>
                  <w:lang w:val="en-US" w:eastAsia="zh-CN" w:bidi="zh-CN"/>
                </w:rPr>
                <m:t>×</m:t>
              </m:r>
              <m:sSub>
                <m:sSubPr>
                  <m:ctrlPr>
                    <w:rPr>
                      <w:rFonts w:hint="default" w:ascii="Cambria Math" w:hAnsi="Cambria Math" w:eastAsia="宋体" w:cs="Times New Roman"/>
                      <w:b w:val="0"/>
                      <w:bCs w:val="0"/>
                      <w:sz w:val="24"/>
                      <w:szCs w:val="24"/>
                      <w:lang w:val="en-US" w:eastAsia="zh-CN" w:bidi="zh-CN"/>
                    </w:rPr>
                  </m:ctrlPr>
                </m:sSubPr>
                <m:e>
                  <m:r>
                    <m:rPr>
                      <m:sty m:val="p"/>
                    </m:rPr>
                    <w:rPr>
                      <w:rFonts w:hint="default" w:ascii="Cambria Math" w:hAnsi="Cambria Math" w:eastAsia="宋体" w:cs="Times New Roman"/>
                      <w:sz w:val="24"/>
                      <w:szCs w:val="24"/>
                      <w:lang w:val="en-US" w:eastAsia="zh-CN" w:bidi="zh-CN"/>
                    </w:rPr>
                    <m:t>Q</m:t>
                  </m:r>
                  <m:ctrlPr>
                    <w:rPr>
                      <w:rFonts w:hint="default" w:ascii="Cambria Math" w:hAnsi="Cambria Math" w:eastAsia="宋体" w:cs="Times New Roman"/>
                      <w:b w:val="0"/>
                      <w:bCs w:val="0"/>
                      <w:sz w:val="24"/>
                      <w:szCs w:val="24"/>
                      <w:lang w:val="en-US" w:eastAsia="zh-CN" w:bidi="zh-CN"/>
                    </w:rPr>
                  </m:ctrlPr>
                </m:e>
                <m:sub>
                  <m:r>
                    <m:rPr>
                      <m:sty m:val="p"/>
                    </m:rPr>
                    <w:rPr>
                      <w:rFonts w:hint="default" w:ascii="Cambria Math" w:hAnsi="Cambria Math" w:eastAsia="宋体" w:cs="Times New Roman"/>
                      <w:sz w:val="24"/>
                      <w:szCs w:val="24"/>
                      <w:lang w:val="en-US" w:eastAsia="zh-CN" w:bidi="zh-CN"/>
                    </w:rPr>
                    <m:t>4</m:t>
                  </m:r>
                  <m:ctrlPr>
                    <w:rPr>
                      <w:rFonts w:hint="default" w:ascii="Cambria Math" w:hAnsi="Cambria Math" w:eastAsia="宋体" w:cs="Times New Roman"/>
                      <w:b w:val="0"/>
                      <w:bCs w:val="0"/>
                      <w:sz w:val="24"/>
                      <w:szCs w:val="24"/>
                      <w:lang w:val="en-US" w:eastAsia="zh-CN" w:bidi="zh-CN"/>
                    </w:rPr>
                  </m:ctrlPr>
                </m:sub>
              </m:sSub>
              <m:r>
                <m:rPr>
                  <m:sty m:val="p"/>
                </m:rPr>
                <w:rPr>
                  <w:rFonts w:hint="default" w:ascii="Cambria Math" w:hAnsi="Cambria Math" w:eastAsia="宋体" w:cs="Times New Roman"/>
                  <w:sz w:val="24"/>
                  <w:szCs w:val="24"/>
                  <w:lang w:val="en-US" w:eastAsia="zh-CN" w:bidi="zh-CN"/>
                </w:rPr>
                <m:t>×</m:t>
              </m:r>
              <m:sSub>
                <m:sSubPr>
                  <m:ctrlPr>
                    <w:rPr>
                      <w:rFonts w:hint="default" w:ascii="Cambria Math" w:hAnsi="Cambria Math" w:eastAsia="宋体" w:cs="Times New Roman"/>
                      <w:b w:val="0"/>
                      <w:bCs w:val="0"/>
                      <w:sz w:val="24"/>
                      <w:szCs w:val="24"/>
                      <w:lang w:val="en-US" w:eastAsia="zh-CN" w:bidi="zh-CN"/>
                    </w:rPr>
                  </m:ctrlPr>
                </m:sSubPr>
                <m:e>
                  <m:r>
                    <m:rPr>
                      <m:sty m:val="p"/>
                    </m:rPr>
                    <w:rPr>
                      <w:rFonts w:hint="default" w:ascii="Cambria Math" w:hAnsi="Cambria Math" w:eastAsia="宋体" w:cs="Times New Roman"/>
                      <w:sz w:val="24"/>
                      <w:szCs w:val="24"/>
                      <w:lang w:val="en-US" w:eastAsia="zh-CN" w:bidi="zh-CN"/>
                    </w:rPr>
                    <m:t>Q</m:t>
                  </m:r>
                  <m:ctrlPr>
                    <w:rPr>
                      <w:rFonts w:hint="default" w:ascii="Cambria Math" w:hAnsi="Cambria Math" w:eastAsia="宋体" w:cs="Times New Roman"/>
                      <w:b w:val="0"/>
                      <w:bCs w:val="0"/>
                      <w:sz w:val="24"/>
                      <w:szCs w:val="24"/>
                      <w:lang w:val="en-US" w:eastAsia="zh-CN" w:bidi="zh-CN"/>
                    </w:rPr>
                  </m:ctrlPr>
                </m:e>
                <m:sub>
                  <m:r>
                    <m:rPr>
                      <m:sty m:val="p"/>
                    </m:rPr>
                    <w:rPr>
                      <w:rFonts w:hint="default" w:ascii="Cambria Math" w:hAnsi="Cambria Math" w:eastAsia="宋体" w:cs="Times New Roman"/>
                      <w:sz w:val="24"/>
                      <w:szCs w:val="24"/>
                      <w:lang w:val="en-US" w:eastAsia="zh-CN" w:bidi="zh-CN"/>
                    </w:rPr>
                    <m:t>5</m:t>
                  </m:r>
                  <m:ctrlPr>
                    <w:rPr>
                      <w:rFonts w:hint="default" w:ascii="Cambria Math" w:hAnsi="Cambria Math" w:eastAsia="宋体" w:cs="Times New Roman"/>
                      <w:b w:val="0"/>
                      <w:bCs w:val="0"/>
                      <w:sz w:val="24"/>
                      <w:szCs w:val="24"/>
                      <w:lang w:val="en-US" w:eastAsia="zh-CN" w:bidi="zh-CN"/>
                    </w:rPr>
                  </m:ctrlPr>
                </m:sub>
              </m:sSub>
              <m:r>
                <m:rPr>
                  <m:sty m:val="p"/>
                </m:rPr>
                <w:rPr>
                  <w:rFonts w:hint="default" w:ascii="Cambria Math" w:hAnsi="Cambria Math" w:eastAsia="宋体" w:cs="Times New Roman"/>
                  <w:sz w:val="24"/>
                  <w:szCs w:val="24"/>
                  <w:lang w:val="en-US" w:eastAsia="zh-CN" w:bidi="zh-CN"/>
                </w:rPr>
                <m:t>×</m:t>
              </m:r>
              <m:sSub>
                <m:sSubPr>
                  <m:ctrlPr>
                    <w:rPr>
                      <w:rFonts w:hint="default" w:ascii="Cambria Math" w:hAnsi="Cambria Math" w:eastAsia="宋体" w:cs="Times New Roman"/>
                      <w:b w:val="0"/>
                      <w:bCs w:val="0"/>
                      <w:sz w:val="24"/>
                      <w:szCs w:val="24"/>
                      <w:lang w:val="en-US" w:eastAsia="zh-CN" w:bidi="zh-CN"/>
                    </w:rPr>
                  </m:ctrlPr>
                </m:sSubPr>
                <m:e>
                  <m:r>
                    <m:rPr>
                      <m:sty m:val="p"/>
                    </m:rPr>
                    <w:rPr>
                      <w:rFonts w:hint="default" w:ascii="Cambria Math" w:hAnsi="Cambria Math" w:eastAsia="宋体" w:cs="Times New Roman"/>
                      <w:sz w:val="24"/>
                      <w:szCs w:val="24"/>
                      <w:lang w:val="en-US" w:eastAsia="zh-CN" w:bidi="zh-CN"/>
                    </w:rPr>
                    <m:t>Q</m:t>
                  </m:r>
                  <m:ctrlPr>
                    <w:rPr>
                      <w:rFonts w:hint="default" w:ascii="Cambria Math" w:hAnsi="Cambria Math" w:eastAsia="宋体" w:cs="Times New Roman"/>
                      <w:b w:val="0"/>
                      <w:bCs w:val="0"/>
                      <w:sz w:val="24"/>
                      <w:szCs w:val="24"/>
                      <w:lang w:val="en-US" w:eastAsia="zh-CN" w:bidi="zh-CN"/>
                    </w:rPr>
                  </m:ctrlPr>
                </m:e>
                <m:sub>
                  <m:r>
                    <m:rPr>
                      <m:sty m:val="p"/>
                    </m:rPr>
                    <w:rPr>
                      <w:rFonts w:hint="default" w:ascii="Cambria Math" w:hAnsi="Cambria Math" w:eastAsia="宋体" w:cs="Times New Roman"/>
                      <w:sz w:val="24"/>
                      <w:szCs w:val="24"/>
                      <w:lang w:val="en-US" w:eastAsia="zh-CN" w:bidi="zh-CN"/>
                    </w:rPr>
                    <m:t>6</m:t>
                  </m:r>
                  <m:ctrlPr>
                    <w:rPr>
                      <w:rFonts w:hint="default" w:ascii="Cambria Math" w:hAnsi="Cambria Math" w:eastAsia="宋体" w:cs="Times New Roman"/>
                      <w:b w:val="0"/>
                      <w:bCs w:val="0"/>
                      <w:sz w:val="24"/>
                      <w:szCs w:val="24"/>
                      <w:lang w:val="en-US" w:eastAsia="zh-CN" w:bidi="zh-CN"/>
                    </w:rPr>
                  </m:ctrlPr>
                </m:sub>
              </m:sSub>
              <m:ctrlPr>
                <w:rPr>
                  <w:rFonts w:hint="default" w:ascii="Cambria Math" w:hAnsi="Cambria Math" w:eastAsia="宋体" w:cs="Times New Roman"/>
                  <w:b w:val="0"/>
                  <w:bCs w:val="0"/>
                  <w:sz w:val="24"/>
                  <w:szCs w:val="24"/>
                  <w:lang w:val="en-US" w:eastAsia="zh-CN" w:bidi="zh-CN"/>
                </w:rPr>
              </m:ctrlPr>
            </m:e>
          </m:nary>
        </m:oMath>
      </m:oMathPara>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式中：P---预测年水域路段发生化学品事故风险的概率，次/年</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Q1---该地区目前相撞翻车等重大交通事故概率，类比四川同类项目资料，本工程事故概率取0.21次/km•百万车；</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Q2---预测年的年绝对交通量，百万辆/年；</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Q3---重点路段长度（km）；</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Q4---货车占交通量的比例。根据项目工可资料，2026年取48.11%，2031年取46.86%，2036年取45.59%，</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Q5---运输化学危险品车辆占货车比例，类比四川同类项目资料，取10.07%</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Q6---车辆相撞翻车等重大事故占一般事故比例（%），类比四川同类报告取10%</w:t>
      </w:r>
    </w:p>
    <w:p>
      <w:pPr>
        <w:numPr>
          <w:ilvl w:val="-1"/>
          <w:numId w:val="0"/>
        </w:numPr>
        <w:tabs>
          <w:tab w:val="left" w:pos="0"/>
        </w:tabs>
        <w:autoSpaceDE w:val="0"/>
        <w:autoSpaceDN w:val="0"/>
        <w:adjustRightInd w:val="0"/>
        <w:ind w:left="0" w:leftChars="0" w:firstLine="0" w:firstLineChars="0"/>
        <w:jc w:val="center"/>
        <w:rPr>
          <w:rFonts w:hint="default" w:ascii="Times New Roman" w:hAnsi="Times New Roman" w:eastAsia="宋体" w:cs="Times New Roman"/>
          <w:b/>
          <w:bCs w:val="0"/>
          <w:kern w:val="0"/>
          <w:sz w:val="21"/>
          <w:szCs w:val="21"/>
          <w:lang w:val="en-US" w:eastAsia="zh-CN"/>
        </w:rPr>
      </w:pPr>
      <w:r>
        <w:rPr>
          <w:rFonts w:hint="default" w:ascii="Times New Roman" w:hAnsi="Times New Roman" w:eastAsia="宋体" w:cs="Times New Roman"/>
          <w:b/>
          <w:bCs w:val="0"/>
          <w:kern w:val="0"/>
          <w:sz w:val="21"/>
          <w:szCs w:val="21"/>
          <w:lang w:val="en-US" w:eastAsia="zh-CN"/>
        </w:rPr>
        <w:t>表</w:t>
      </w:r>
      <w:r>
        <w:rPr>
          <w:rFonts w:hint="eastAsia" w:ascii="Times New Roman" w:hAnsi="Times New Roman" w:cs="Times New Roman"/>
          <w:b/>
          <w:bCs w:val="0"/>
          <w:kern w:val="0"/>
          <w:sz w:val="21"/>
          <w:szCs w:val="21"/>
          <w:lang w:val="en-US" w:eastAsia="zh-CN"/>
        </w:rPr>
        <w:t>4.6-2</w:t>
      </w:r>
      <w:r>
        <w:rPr>
          <w:rFonts w:hint="default" w:ascii="Times New Roman" w:hAnsi="Times New Roman" w:eastAsia="宋体" w:cs="Times New Roman"/>
          <w:b/>
          <w:bCs w:val="0"/>
          <w:kern w:val="0"/>
          <w:sz w:val="21"/>
          <w:szCs w:val="21"/>
          <w:lang w:val="en-US" w:eastAsia="zh-CN"/>
        </w:rPr>
        <w:t xml:space="preserve"> 本工程环境敏感路段发生环境风险事故概率预测表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26"/>
        <w:gridCol w:w="1757"/>
        <w:gridCol w:w="1321"/>
        <w:gridCol w:w="1321"/>
        <w:gridCol w:w="1321"/>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序号</w:t>
            </w:r>
          </w:p>
        </w:tc>
        <w:tc>
          <w:tcPr>
            <w:tcW w:w="1260"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桩号</w:t>
            </w:r>
          </w:p>
        </w:tc>
        <w:tc>
          <w:tcPr>
            <w:tcW w:w="1557"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敏感路段名称</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长度（m）</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2026年</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2031年</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2036年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1</w:t>
            </w:r>
          </w:p>
        </w:tc>
        <w:tc>
          <w:tcPr>
            <w:tcW w:w="1260"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K2+915.0</w:t>
            </w:r>
          </w:p>
        </w:tc>
        <w:tc>
          <w:tcPr>
            <w:tcW w:w="1557"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四合大桥</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108</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0.000192</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0.000223</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0.000259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2</w:t>
            </w:r>
          </w:p>
        </w:tc>
        <w:tc>
          <w:tcPr>
            <w:tcW w:w="1260"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K3+775.0</w:t>
            </w:r>
          </w:p>
        </w:tc>
        <w:tc>
          <w:tcPr>
            <w:tcW w:w="1557"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临巴中桥</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88</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0.000154</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0.000179</w:t>
            </w:r>
          </w:p>
        </w:tc>
        <w:tc>
          <w:tcPr>
            <w:tcW w:w="1164" w:type="dxa"/>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rPr>
            </w:pPr>
            <w:r>
              <w:rPr>
                <w:rFonts w:hint="default" w:ascii="Times New Roman" w:hAnsi="Times New Roman" w:eastAsia="宋体" w:cs="Times New Roman"/>
                <w:b w:val="0"/>
                <w:bCs/>
                <w:sz w:val="21"/>
                <w:szCs w:val="21"/>
                <w:highlight w:val="none"/>
                <w:vertAlign w:val="baseline"/>
                <w:lang w:val="en-US" w:eastAsia="zh-CN"/>
              </w:rPr>
              <w:t>0.111207</w:t>
            </w:r>
          </w:p>
        </w:tc>
      </w:tr>
    </w:tbl>
    <w:p>
      <w:pPr>
        <w:spacing w:line="360" w:lineRule="auto"/>
        <w:ind w:firstLine="480" w:firstLineChars="200"/>
        <w:jc w:val="left"/>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计算结果表明，敏感路段运营期运输危险品车辆发生翻车等重大交通事故造成水体污染的可能性很小。环境风险事故的概率虽然较小，一旦发生风险事故，其影响相当严重，应引起高度重视，运营期公路管理部门应做好应急计划，通过加强运输车辆管理，将风险事故影响降到最低。</w:t>
      </w:r>
    </w:p>
    <w:p>
      <w:pPr>
        <w:pStyle w:val="2"/>
        <w:rPr>
          <w:rFonts w:hint="default" w:ascii="Times New Roman" w:hAnsi="Times New Roman" w:eastAsia="宋体" w:cs="Times New Roman"/>
          <w:b w:val="0"/>
          <w:bCs w:val="0"/>
          <w:sz w:val="24"/>
          <w:szCs w:val="24"/>
          <w:lang w:val="en-US" w:eastAsia="zh-CN" w:bidi="zh-CN"/>
        </w:rPr>
      </w:pPr>
    </w:p>
    <w:p>
      <w:pPr>
        <w:pStyle w:val="3"/>
        <w:bidi w:val="0"/>
        <w:rPr>
          <w:rFonts w:hint="default"/>
          <w:lang w:val="en-US" w:eastAsia="zh-CN"/>
        </w:rPr>
      </w:pPr>
      <w:bookmarkStart w:id="125" w:name="_Toc15511"/>
      <w:r>
        <w:rPr>
          <w:rFonts w:hint="default"/>
          <w:lang w:val="en-US" w:eastAsia="zh-CN"/>
        </w:rPr>
        <w:t>5 环境保护措施及其可行性论证</w:t>
      </w:r>
      <w:bookmarkEnd w:id="125"/>
    </w:p>
    <w:p>
      <w:pPr>
        <w:pStyle w:val="4"/>
        <w:bidi w:val="0"/>
        <w:rPr>
          <w:rFonts w:hint="default"/>
          <w:lang w:val="en-US" w:eastAsia="zh-CN"/>
        </w:rPr>
      </w:pPr>
      <w:bookmarkStart w:id="126" w:name="_Toc16550"/>
      <w:r>
        <w:rPr>
          <w:rFonts w:hint="default"/>
          <w:lang w:val="en-US" w:eastAsia="zh-CN"/>
        </w:rPr>
        <w:t>5.1.生态环境保护措施</w:t>
      </w:r>
      <w:bookmarkEnd w:id="126"/>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5.1.1.施工期生态环境保护措施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针对本项目施工可能产生的生态影响，提出以下生态保护措施：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（1）永久占地生态保护与恢复措施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本项目主要占用耕地和林地。对占用耕地路段，施工前应剥离耕地的表层耕作土，并临时堆积在征地范围内，做好临时拦挡</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遮盖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防冲排水措施；对占用林地应移栽小龄苗木，同时剥离表层有肥力的土壤。施工结束后表层土壤可覆填路基边坡作为植被恢复的土壤基质，或用于其他改良造田。</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桥梁施工过程中产生的弃渣弃于指定弃渣场，严禁随意弃渣，同时为减小桥梁施工对沿线水体的影响，建议在枯水期施工。泥浆水禁止排入沿线水体，经沉浆池沉淀后循环使用；桥头护坡要采用浆砌片石防护，防止水流冲刷对桥梁破坏引发次生生态环境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（2）临时占地生态保护与恢复措施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1）取土场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弃渣场生态保护与恢复措施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取土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弃渣前应先将表土剥离并堆放一侧，做好临时堆存覆盖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拦挡与排水养护工作；取土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弃渣结束后，应及时进行土地整治并回填表土复耕，或重新选取一块荒地回填表土，进行整治复耕和绿化。</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（3）野生动物保护措施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沿线人类活动频繁，野生动物多为常见的两栖类和爬行类。建议采取以下措施，最大程度地减缓工程对沿线野生动物的影响：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1）在公路施工期间，加强施工人员的宣传教育和科学管理，提高施工人员保护意识，使其遵守《中华人共和国野生动物保护法》相关规定，禁止追赶</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捕杀野生动物等行为；尽量不要扰动野生动物正常的繁衍生息；严禁施工人员在河流水域打捞水生动物。</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2）要注意合理取土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弃渣，不得随意布置取土场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弃渣场；原生林集中分布区应避免设置取土场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弃渣场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预制场等临时占地，防止破坏野生动物的栖息地。</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3）合理安排作业时间，减少施工噪音对野生动物的惊扰；林地路段采用加密绿化带，降低运营期灯光和噪音对动物的不利影响。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4）桥梁施工时在枯水期进行，严禁施工废水直接流入沿线河流水体，避免对水生生物产生影响。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（4）耕地保护措施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1）本项目不占用基本农田，在满足公路设计相关要求下，尽可能降低路基高度</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收缩边坡，进一步减少占用一般耕地。</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2）在工程招标时，应将耕地保护的有关条款列入招标文件，临时用地禁止占用基本农田，占压一般农田的临时用地，在施工完毕后及时复耕，避免占压高产良田；采取改地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造地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复垦等综合措施进行临时用地的恢复改造，减少耕地损失。</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3）路基施工区，应在工程施工前对表土进行剥离，用于新开垦耕地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覆盖路基边坡等。</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建设单位要增强耕地保护意识，统筹工程实施临时用地，加强科学指导；环境监理单位要加强施工过程中占地情况监督，督促施工单位落实土地保护措施。在组织交工验收时，应对土地利用和恢复情况进行全面检查。</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（5）林地保护措施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对占用林地路段需经当地人民政府同意，报林业主管部门批准后，按有关规定如《中华人民共和国森林法》</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《四川省林地管理办法》等办理林地的行政许可。建议尽量移植林木，严格控制沿线人工林</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次生林</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原生林的砍伐数量，征地范围之外的林木严禁砍伐；严禁超范围占用林地，特别是临时占地严禁随意占用林地，经批准临时占用的林地要在施工活动完成后及时恢复林地生长条件。</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5.1.2.运营期生态环境保护措施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根据项目建设工程的特性，本项目运营期可能产生的生态影响包括生态阻隔和生态景观影响等方面，由于本项目建设道路均为城市道路，周边均为城市开发建设用地，现状无大型野生动物生存，对生物的生态阻隔影响并不显著，因此，项目建设道路不用设置供野生动物穿行的通道。因此运营期生态保护措施主要针对生态景观的失调，提出以下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（1）主体设计的绿化工程按照要求实施落实，道路两侧绿化工程等，植被选取尽量选用当地土生植被，运营期加强植被保养工作。</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（2）施工临时占地对地表植被造成的破坏在施工结束后，必须通过迹地恢复，消除因临时占地造成的地表裸露，使之与周边景观协调。</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（3）运营期强化交通噪声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道路扬尘等污染的治理，减少因道路运营对周边动植物生态系统的影响。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采取上述措施后，本项目运营期不会对区域生态环境产生不利影响。</w:t>
      </w:r>
    </w:p>
    <w:p>
      <w:pPr>
        <w:pStyle w:val="4"/>
        <w:bidi w:val="0"/>
        <w:rPr>
          <w:rFonts w:hint="default"/>
          <w:lang w:val="en-US" w:eastAsia="zh-CN"/>
        </w:rPr>
      </w:pPr>
      <w:bookmarkStart w:id="127" w:name="_Toc3249"/>
      <w:r>
        <w:rPr>
          <w:rFonts w:hint="default"/>
          <w:lang w:val="en-US" w:eastAsia="zh-CN"/>
        </w:rPr>
        <w:t>5.2.大气环境保护措施</w:t>
      </w:r>
      <w:bookmarkEnd w:id="127"/>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5.2.1.施工期大气环境保护措施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在施工建设中应严格按照相关扬尘防治管理规定进行施工建设，最大程度减少扬尘产生污染环境。具体要求是：</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（1）施工方应做好扬尘防护工作，工地不准裸露野蛮施工，在风速大于3m/s时应停止挖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填土方作业；</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（2）施工中在挖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装</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卸</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填</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压等环节采用湿法作业，对邻近道路两侧的环境敏感点处的施工场地进行围挡，以降低扬尘对周围居民影响；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（3）尽量将大范围挖填方作业安排在雨季后</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风季前实施。禁止在大风天气情况下进行渣土堆放作业，临时废弃土石堆场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临时表土堆场及时清运，并对堆场以塑料薄膜覆盖，裸露地面进行硬化和绿化；开挖出的土石方应加强围栏，表面用塑料薄膜覆盖；</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施工区段涉及各处敏感目标较近处均要求对施工现场架设2.5m~3m高施工围墙，封闭施工现场，在实体围挡顶部设置洒水器，配备炮雾车定期喷水降尘，以减少施工过程中的粉尘飞扬现象，降低粉尘向大气中的排放及其对敏感目标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（5）施工结束后，应尽早对场区内的裸露地面进行绿化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硬化工作，减少扬尘的产生量和预防水土流失。可选取栽种易存活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好管理的本地品种，尽可能增大场区内</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外的绿化面积，做到草</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灌</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木相结合；</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（6）施工现场必须配齐保洁人员定期对地面洒水，并对撒落在路面的渣土及时清除，清理阶段做到先洒水后清扫；</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（7）施工场地对施工车辆必须实施限速行驶，运输车辆出场时必须封闭，其中入场的商砼</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粉粒料全部使用全封闭罐车装运，出场的建筑垃圾全部加盖篷布并拉紧</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盖严。同时在施工场地出口放置防尘垫，不准运渣车辆冒顶装载，自卸车</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垃圾运输车等运输车辆不允许超载；在各施工场地进出口必须设置冲洗设施，进入已硬化路面前的所有运输车辆必须清洗车体和轮胎，不准车辆带泥出门。</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（8）使用商品混凝土，不在现场设置混凝土搅拌站。</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同时，施工单位</w:t>
      </w:r>
      <w:r>
        <w:rPr>
          <w:rFonts w:hint="eastAsia" w:ascii="Times New Roman" w:hAnsi="Times New Roman" w:cs="Times New Roman"/>
          <w:b w:val="0"/>
          <w:bCs w:val="0"/>
          <w:sz w:val="24"/>
          <w:szCs w:val="24"/>
          <w:lang w:val="en-US" w:eastAsia="zh-CN" w:bidi="zh-CN"/>
        </w:rPr>
        <w:t>必须</w:t>
      </w:r>
      <w:r>
        <w:rPr>
          <w:rFonts w:hint="default" w:ascii="Times New Roman" w:hAnsi="Times New Roman" w:eastAsia="宋体" w:cs="Times New Roman"/>
          <w:b w:val="0"/>
          <w:bCs w:val="0"/>
          <w:sz w:val="24"/>
          <w:szCs w:val="24"/>
          <w:lang w:val="en-US" w:eastAsia="zh-CN" w:bidi="zh-CN"/>
        </w:rPr>
        <w:t>严格按照《四川省〈中华人民共和国大气污染防治法〉实施办法》</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《关于印发四川省建筑程扬尘污染防治技术导则（试行）的通知》（川建发</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2019</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16号）全面督查建筑工地现场管理“六必须”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“六不准”以及“六个百分百”的执行情况，六必须：必须打围作业</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必须硬化道路</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必须设置冲洗设施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必须湿法作业</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必须配齐保洁人员</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必须定时清扫施工现场；六不准：不准车辆带泥出门，不准运渣车辆冒顶装载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不准高空抛撒建渣</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不准现场搅拌混凝土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不准场地积水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不准现场焚烧废弃物；六个百分百：工地周边围挡</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物料堆放覆盖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出入车辆冲洗</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施工现场道路及材料堆场硬化</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工地湿法作业及渣土车辆密闭运输。</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通过采取上述防治措施，将施工期产生的废气进行有效控制，类比同类型工程，本项目施工期土方开挖/土方回填阶段扬尘无组织排放最大处浓度预计在0.5mg/m³左右，其他工程阶段扬尘无组织排放最大处浓度预计在0.15mg/m³左右，均可满足《四川省施工场地扬尘排放标准》（DB51/2682-2020）中所在区域各施工阶段排放限值要求。不会对大气环境产生太大影响。</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5.2.2.运营期大气环境保护措施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本项目营运期大气污染物主要来自于汽车尾气</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交通道路扬尘，其主要污染物为NOx和TSP。项目不设置养护站</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服务区等集中式排放源。针对汽车尾气及交通扬尘提出以下治理措施：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（1）道路绿化工程选取一些具有良好空气净化作用的植物，并加强运营期养护。</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（2）大力提倡低排放车辆和清洁能源车辆的使用，降低机动车车辆单车污染排放量。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（3）管理部门应监督道路路面的卫生状况，负责道路清洁的部门应经常清扫路面</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洒水冲洗，尽量减低路面尘土量。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（4）控制车辆行驶速度，设立限速标志，禁止</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限制带泥车辆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渣土粉料运输车辆驶入城区道路，悬挂环保标识牌。</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本项目沿线环境空气质量现状良好，周边空旷有利于大气扩散，采取上述措施后，汽车尾气和扬尘的影响不大，道路两侧大气环境可达到《环境空气质量标准》（GB3095-2012）二级标准要求。</w:t>
      </w:r>
    </w:p>
    <w:p>
      <w:pPr>
        <w:pStyle w:val="4"/>
        <w:bidi w:val="0"/>
        <w:rPr>
          <w:rFonts w:hint="default"/>
          <w:lang w:val="en-US" w:eastAsia="zh-CN"/>
        </w:rPr>
      </w:pPr>
      <w:bookmarkStart w:id="128" w:name="_Toc16024"/>
      <w:r>
        <w:rPr>
          <w:rFonts w:hint="default"/>
          <w:lang w:val="en-US" w:eastAsia="zh-CN"/>
        </w:rPr>
        <w:t>5.3.水环境保护措施</w:t>
      </w:r>
      <w:bookmarkEnd w:id="128"/>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5.3.1.施工期水环境保护措施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本项目施工期产生的废水主要为离场车辆的冲洗废水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生活污水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桥梁施工废水。不同废水采取不同的措施进行治理，如下：</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（1）桥梁施工</w:t>
      </w:r>
      <w:r>
        <w:rPr>
          <w:rFonts w:hint="default" w:ascii="Times New Roman" w:hAnsi="Times New Roman" w:cs="Times New Roman"/>
          <w:b w:val="0"/>
          <w:bCs w:val="0"/>
          <w:sz w:val="24"/>
          <w:szCs w:val="24"/>
          <w:lang w:val="en-US" w:eastAsia="zh-CN" w:bidi="zh-CN"/>
        </w:rPr>
        <w:t>废水</w:t>
      </w:r>
      <w:r>
        <w:rPr>
          <w:rFonts w:hint="default" w:ascii="Times New Roman" w:hAnsi="Times New Roman" w:eastAsia="宋体" w:cs="Times New Roman"/>
          <w:b w:val="0"/>
          <w:bCs w:val="0"/>
          <w:sz w:val="24"/>
          <w:szCs w:val="24"/>
          <w:lang w:val="en-US" w:eastAsia="zh-CN" w:bidi="zh-CN"/>
        </w:rPr>
        <w:t>：施工场地内设沉浆池，泥浆水等施工废水经处理后回用，不得直接排入水体；钻渣经沉淀池处理后沉渣运至弃渣场填埋处理，不得直接弃入河滩或河道。</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施工机械及车辆冲洗废水：在施工区进出口修建2个沉淀池交替使用，每次的冲洗废水排入其中的一个沉淀池内，上清液回用，不得直接排入水体；沉淀池内沉淀物主要是泥沙，应定期清运用于工程低洼地做回填料使用，不得直接弃入河滩或河道。</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（3）施工人员利用附近公共厕所或居民厕所如厕，施工人员生活污水利用既有的环保设施收集处理。</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项目施工期采取了上述防治措施后，其施工期产生的各项废水可得到有效控制，大部分废水均可实现回用不外排，部分外排废水也能够实现达标排放。项目施工期对地表水环境影响较小。</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5.3.2.运营期水环境保护措施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营运期路面径流在非事故状态下，基本可接近国家规定的排放标准，不会造成对环境的污染影响，但在汽车保养状况不良</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发生故障</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出现事故等时，都可能泄漏汽油和机油污染路面，在遇降雨后，雨水经道路雨水管道</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排水边沟流入附近的水域，造成石油类和COD的污染影响，应通过交通管理措施，避免类似事故发生（详见风险防范措施）。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在采取以上措施后，本工程运营期间对区域地表水体的影响较小。</w:t>
      </w:r>
    </w:p>
    <w:p>
      <w:pPr>
        <w:pStyle w:val="4"/>
        <w:bidi w:val="0"/>
        <w:rPr>
          <w:rFonts w:hint="default"/>
          <w:lang w:val="en-US" w:eastAsia="zh-CN"/>
        </w:rPr>
      </w:pPr>
      <w:bookmarkStart w:id="129" w:name="_Toc19130"/>
      <w:r>
        <w:rPr>
          <w:rFonts w:hint="default"/>
          <w:lang w:val="en-US" w:eastAsia="zh-CN"/>
        </w:rPr>
        <w:t>5.4.声环境保护措施</w:t>
      </w:r>
      <w:bookmarkEnd w:id="129"/>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5.4.1.施工期声环境保护措施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本项目施工阶段的主要噪声</w:t>
      </w:r>
      <w:r>
        <w:rPr>
          <w:rFonts w:hint="eastAsia" w:ascii="Times New Roman" w:hAnsi="Times New Roman" w:cs="Times New Roman"/>
          <w:b w:val="0"/>
          <w:bCs w:val="0"/>
          <w:sz w:val="24"/>
          <w:szCs w:val="24"/>
          <w:lang w:val="en-US" w:eastAsia="zh-CN" w:bidi="zh-CN"/>
        </w:rPr>
        <w:t>来自</w:t>
      </w:r>
      <w:r>
        <w:rPr>
          <w:rFonts w:hint="default" w:ascii="Times New Roman" w:hAnsi="Times New Roman" w:eastAsia="宋体" w:cs="Times New Roman"/>
          <w:b w:val="0"/>
          <w:bCs w:val="0"/>
          <w:sz w:val="24"/>
          <w:szCs w:val="24"/>
          <w:lang w:val="en-US" w:eastAsia="zh-CN" w:bidi="zh-CN"/>
        </w:rPr>
        <w:t>施工过程中施工机械和运输车辆辐射的噪声，具有高噪声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无规律的特点，它对外环境的影响是暂时的，随施工结束而消失。但由于在施工过程中采用的机械设备噪声值很高，如不加以控制，会对附近的居民生活产生较大的影响。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zh-CN" w:eastAsia="zh-CN" w:bidi="zh-CN"/>
        </w:rPr>
        <w:t>为此</w:t>
      </w:r>
      <w:r>
        <w:rPr>
          <w:rFonts w:hint="default" w:ascii="Times New Roman" w:hAnsi="Times New Roman" w:eastAsia="宋体" w:cs="Times New Roman"/>
          <w:b w:val="0"/>
          <w:bCs w:val="0"/>
          <w:sz w:val="24"/>
          <w:szCs w:val="24"/>
          <w:lang w:val="en-US" w:eastAsia="zh-CN" w:bidi="zh-CN"/>
        </w:rPr>
        <w:t>，本次评价提出以下环保措施。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（1）合理安排施工计划和施工机械设备组合以及施工时间，禁止在午休时间和夜间（22:00-6:00）进行高噪施工，</w:t>
      </w:r>
      <w:r>
        <w:rPr>
          <w:rFonts w:hint="eastAsia" w:ascii="Times New Roman" w:hAnsi="Times New Roman" w:eastAsia="宋体" w:cs="Times New Roman"/>
          <w:b w:val="0"/>
          <w:bCs w:val="0"/>
          <w:sz w:val="24"/>
          <w:szCs w:val="24"/>
          <w:lang w:val="en-US" w:eastAsia="zh-CN" w:bidi="zh-CN"/>
        </w:rPr>
        <w:t>如果必须连续作业，应首先征得当地环保、城管等主管部门的同意，并公告附近居民；</w:t>
      </w:r>
      <w:r>
        <w:rPr>
          <w:rFonts w:hint="default" w:ascii="Times New Roman" w:hAnsi="Times New Roman" w:eastAsia="宋体" w:cs="Times New Roman"/>
          <w:b w:val="0"/>
          <w:bCs w:val="0"/>
          <w:sz w:val="24"/>
          <w:szCs w:val="24"/>
          <w:lang w:val="en-US" w:eastAsia="zh-CN" w:bidi="zh-CN"/>
        </w:rPr>
        <w:t>避免在同一时间集中使用大量的动力机械设备。严格执行《建筑施工场界环境噪声排放标准》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GB12523-2011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的要求，在施工过程中，尽量减少运行动力机械设备的数量，尽可能使动力机械设备比较均匀地使用；</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（2）施工进行合理布局，尽量使高噪声的机械设备远离周围敏感点</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项目西侧约2m党群服务中心</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项目东侧约5m处四合村居民</w:t>
      </w:r>
      <w:r>
        <w:rPr>
          <w:rFonts w:hint="eastAsia" w:ascii="Times New Roman" w:hAnsi="Times New Roman" w:cs="Times New Roman"/>
          <w:b w:val="0"/>
          <w:bCs w:val="0"/>
          <w:sz w:val="24"/>
          <w:szCs w:val="24"/>
          <w:lang w:val="en-US" w:eastAsia="zh-CN" w:bidi="zh-CN"/>
        </w:rPr>
        <w:t>，此两处距项目较近且在不采取预防措施的情况下噪声预测超标，</w:t>
      </w:r>
      <w:r>
        <w:rPr>
          <w:rFonts w:hint="default" w:ascii="Times New Roman" w:hAnsi="Times New Roman" w:eastAsia="宋体" w:cs="Times New Roman"/>
          <w:b w:val="0"/>
          <w:bCs w:val="0"/>
          <w:sz w:val="24"/>
          <w:szCs w:val="24"/>
          <w:lang w:val="en-US" w:eastAsia="zh-CN" w:bidi="zh-CN"/>
        </w:rPr>
        <w:t>环评要求此</w:t>
      </w:r>
      <w:r>
        <w:rPr>
          <w:rFonts w:hint="eastAsia" w:ascii="Times New Roman" w:hAnsi="Times New Roman" w:cs="Times New Roman"/>
          <w:b w:val="0"/>
          <w:bCs w:val="0"/>
          <w:sz w:val="24"/>
          <w:szCs w:val="24"/>
          <w:lang w:val="en-US" w:eastAsia="zh-CN" w:bidi="zh-CN"/>
        </w:rPr>
        <w:t>两</w:t>
      </w:r>
      <w:r>
        <w:rPr>
          <w:rFonts w:hint="default" w:ascii="Times New Roman" w:hAnsi="Times New Roman" w:eastAsia="宋体" w:cs="Times New Roman"/>
          <w:b w:val="0"/>
          <w:bCs w:val="0"/>
          <w:sz w:val="24"/>
          <w:szCs w:val="24"/>
          <w:lang w:val="en-US" w:eastAsia="zh-CN" w:bidi="zh-CN"/>
        </w:rPr>
        <w:t>段道路施工时设置移动声屏障，并进行现场监测，在满足《建筑施工场界环境噪声排放标准》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GB12523-2011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的要求下实施施工；</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（3）其中路段涉及各处声环境敏感目标较近处均要求对施工现场架设2.5m~3m高施工围墙，封闭施工现场，以减少施工噪声对周围敏感点的影响；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（4）科学安排施工现场运输车辆作业时间，设法压缩汽车数量及行车频率，运输时在城区及施工场地严禁鸣笛；</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（5）施工单位应选用符合国家有关标准的施工机具和运输车辆，加强机械设备的维护和保养，使其能在正常状态下运转，防止由于机械设备的“带病”工作而提高噪声声级。</w:t>
      </w:r>
    </w:p>
    <w:p>
      <w:pPr>
        <w:pStyle w:val="10"/>
        <w:spacing w:line="360" w:lineRule="auto"/>
        <w:rPr>
          <w:rFonts w:hint="default" w:ascii="Times New Roman" w:hAnsi="Times New Roman" w:eastAsia="宋体" w:cs="Times New Roman"/>
          <w:b w:val="0"/>
          <w:bCs w:val="0"/>
          <w:kern w:val="0"/>
          <w:sz w:val="24"/>
          <w:szCs w:val="24"/>
          <w:lang w:val="en-US" w:eastAsia="zh-CN" w:bidi="zh-CN"/>
        </w:rPr>
      </w:pPr>
      <w:r>
        <w:rPr>
          <w:rFonts w:hint="eastAsia" w:ascii="Times New Roman" w:hAnsi="Times New Roman" w:eastAsia="宋体" w:cs="Times New Roman"/>
          <w:b w:val="0"/>
          <w:bCs w:val="0"/>
          <w:kern w:val="0"/>
          <w:sz w:val="24"/>
          <w:szCs w:val="24"/>
          <w:lang w:val="en-US" w:eastAsia="zh-CN" w:bidi="zh-CN"/>
        </w:rPr>
        <w:t>（6）做好协调工作，争取居委会、居民的支持谅解</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环评要求施工单位严格采取上述噪声防治措施，确保施工期间场界噪声满足《建筑施工场界环境噪声排放标准》（GB12523-2011）中相关要求，实现场界处达标排放，严禁出现施工噪声扰民现象。施工期噪声是暂时的，施工单位采取相应降噪措施的情况下，本环评认为该项目施工期噪声是可以接受的。</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5.4.2.运营期声环境保护措施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管理措施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从噪声控制角度出发，常用的管理措施为交通管控，包含限制车速</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管控车流量</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控制车型比例等方法。设计车速直接影响着公路的交通服务功能，通过限制车速可能会到导致交通拥堵</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影响行车安全等问题出现。因此本评价不推荐将限制车速措施作为噪声污染控制措施。同时，一般道路交通量和车型比例与沿线路网结构</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沿线土地利用规划</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经济发展水平等息息相关，通过控制可能会给沿线居民交通出行</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货物运输等带来不便，甚至会影响周边土地利用和经济发展，因此，本次评价亦不推荐将管控公路交通量</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车型比例作为噪声污染控制措施。本次评价推荐可从以下几个方面出发，通过管理手段减少本项目减少带来的交通噪声污染。</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w:t>
      </w:r>
      <w:r>
        <w:rPr>
          <w:rFonts w:hint="eastAsia" w:ascii="Times New Roman" w:hAnsi="Times New Roman" w:cs="Times New Roman"/>
          <w:b w:val="0"/>
          <w:bCs w:val="0"/>
          <w:sz w:val="24"/>
          <w:szCs w:val="24"/>
          <w:lang w:val="en-US" w:eastAsia="zh-CN" w:bidi="zh-CN"/>
        </w:rPr>
        <w:t>1</w:t>
      </w:r>
      <w:r>
        <w:rPr>
          <w:rFonts w:hint="default" w:ascii="Times New Roman" w:hAnsi="Times New Roman" w:eastAsia="宋体" w:cs="Times New Roman"/>
          <w:b w:val="0"/>
          <w:bCs w:val="0"/>
          <w:sz w:val="24"/>
          <w:szCs w:val="24"/>
          <w:lang w:val="en-US" w:eastAsia="zh-CN" w:bidi="zh-CN"/>
        </w:rPr>
        <w:t>）交通管理部门宜利用交通管理手段，在居民集中区路段采取禁止超载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超速的管理措施，减少突发噪声的干扰。</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w:t>
      </w:r>
      <w:r>
        <w:rPr>
          <w:rFonts w:hint="eastAsia" w:ascii="Times New Roman" w:hAnsi="Times New Roman" w:cs="Times New Roman"/>
          <w:b w:val="0"/>
          <w:bCs w:val="0"/>
          <w:sz w:val="24"/>
          <w:szCs w:val="24"/>
          <w:lang w:val="en-US" w:eastAsia="zh-CN" w:bidi="zh-CN"/>
        </w:rPr>
        <w:t>2</w:t>
      </w:r>
      <w:r>
        <w:rPr>
          <w:rFonts w:hint="default" w:ascii="Times New Roman" w:hAnsi="Times New Roman" w:eastAsia="宋体" w:cs="Times New Roman"/>
          <w:b w:val="0"/>
          <w:bCs w:val="0"/>
          <w:sz w:val="24"/>
          <w:szCs w:val="24"/>
          <w:lang w:val="en-US" w:eastAsia="zh-CN" w:bidi="zh-CN"/>
        </w:rPr>
        <w:t>）加强项目路面保养，保持路面平整，定期进行清洗，保障路面吸声效果，并避免路况不佳造成车辆颠簸增大噪声。</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w:t>
      </w:r>
      <w:r>
        <w:rPr>
          <w:rFonts w:hint="eastAsia" w:ascii="Times New Roman" w:hAnsi="Times New Roman" w:cs="Times New Roman"/>
          <w:b w:val="0"/>
          <w:bCs w:val="0"/>
          <w:sz w:val="24"/>
          <w:szCs w:val="24"/>
          <w:lang w:val="en-US" w:eastAsia="zh-CN" w:bidi="zh-CN"/>
        </w:rPr>
        <w:t>3</w:t>
      </w:r>
      <w:r>
        <w:rPr>
          <w:rFonts w:hint="default" w:ascii="Times New Roman" w:hAnsi="Times New Roman" w:eastAsia="宋体" w:cs="Times New Roman"/>
          <w:b w:val="0"/>
          <w:bCs w:val="0"/>
          <w:sz w:val="24"/>
          <w:szCs w:val="24"/>
          <w:lang w:val="en-US" w:eastAsia="zh-CN" w:bidi="zh-CN"/>
        </w:rPr>
        <w:t>）定期保养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维修隔声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吸声设施，确保隔声屏障的降噪效果。</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工程措施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目前从工程角度一般可采取的交通噪声防治对策和措施有：实施降噪路面</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隔声屏障</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栽植绿化林带</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建筑物吸隔声设施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调整建筑物使用功能等。</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default" w:ascii="Times New Roman" w:hAnsi="Times New Roman" w:eastAsia="宋体" w:cs="Times New Roman"/>
          <w:b w:val="0"/>
          <w:bCs w:val="0"/>
          <w:sz w:val="24"/>
          <w:szCs w:val="24"/>
          <w:lang w:val="en-US" w:eastAsia="zh-CN" w:bidi="zh-CN"/>
        </w:rPr>
        <w:t>采用降噪路面</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降噪路面为主动噪声控制措施之一。低噪声路面多采用沥青材料和一定直径的颗粒物， 具有较高的孔隙率，保证了路面较高的吸声特性，类似多孔材料与共振吸声材料的组合。它不仅改善了轮胎与路面的摩擦，同时具有吸声降噪的功能。因此，低噪声路面对于噪声的控制，相比于普通的混凝土路面有了较大的提高。根据相关文献报道，与 AC 路面相比，SMA 路面可降低噪声 3~4dB（A）左右，相对于水泥路面可达到 5dB（A）以上。</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本项目拟采用的路面为 SMA 改性沥青混凝土路面，在一定程度上起到了降低交通噪声源强的作用。为保证路面的降噪效果，建议在运营过程中加强管理，加强路面维护，防止因路面孔隙阻塞而影响降噪效果。</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w:t>
      </w:r>
      <w:r>
        <w:rPr>
          <w:rFonts w:hint="default" w:ascii="Times New Roman" w:hAnsi="Times New Roman" w:eastAsia="宋体" w:cs="Times New Roman"/>
          <w:b w:val="0"/>
          <w:bCs w:val="0"/>
          <w:sz w:val="24"/>
          <w:szCs w:val="24"/>
          <w:lang w:val="en-US" w:eastAsia="zh-CN" w:bidi="zh-CN"/>
        </w:rPr>
        <w:t>隔声屏障</w:t>
      </w:r>
    </w:p>
    <w:p>
      <w:pPr>
        <w:pStyle w:val="2"/>
        <w:spacing w:line="374" w:lineRule="auto"/>
        <w:ind w:left="252" w:right="820" w:firstLine="48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目前的声屏障主要有直立式声屏障</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折臂式声屏障</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封闭式声屏障（分为半封闭式和全封闭式）等。</w:t>
      </w:r>
    </w:p>
    <w:p>
      <w:pPr>
        <w:pStyle w:val="2"/>
        <w:spacing w:before="1" w:line="374" w:lineRule="auto"/>
        <w:ind w:left="252" w:right="813" w:firstLine="480"/>
        <w:jc w:val="both"/>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直立式</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折臂式声屏障便于施工，技术</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材料比较成熟，路侧房屋较矮时，折臂式声屏障为</w:t>
      </w:r>
      <w:r>
        <w:rPr>
          <w:rFonts w:hint="eastAsia" w:ascii="Times New Roman" w:hAnsi="Times New Roman" w:cs="Times New Roman"/>
          <w:b w:val="0"/>
          <w:bCs w:val="0"/>
          <w:sz w:val="24"/>
          <w:szCs w:val="24"/>
          <w:lang w:val="en-US" w:eastAsia="zh-CN" w:bidi="zh-CN"/>
        </w:rPr>
        <w:t>使用</w:t>
      </w:r>
      <w:r>
        <w:rPr>
          <w:rFonts w:hint="default" w:ascii="Times New Roman" w:hAnsi="Times New Roman" w:eastAsia="宋体" w:cs="Times New Roman"/>
          <w:b w:val="0"/>
          <w:bCs w:val="0"/>
          <w:sz w:val="24"/>
          <w:szCs w:val="24"/>
          <w:lang w:val="en-US" w:eastAsia="zh-CN" w:bidi="zh-CN"/>
        </w:rPr>
        <w:t>最多的声屏障形式。半封闭</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全封闭声屏障可增加声屏障的声影区以覆盖整个高层建筑，成为了解决高层建筑交通噪声防护的有效措施。国内如上海</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北京</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南京</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武汉</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重庆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长沙等城市均有设置全封闭声屏障的案例。全封闭声屏障主要应用于两侧均为密集高层建筑的区域，一般运用于城市高层建筑密集区的高架桥两侧噪声的控制，其隔声效果可达到25dB左右。不同声屏障的技术特点及适用条件见表 6.32。</w:t>
      </w:r>
    </w:p>
    <w:p>
      <w:pPr>
        <w:spacing w:before="1" w:after="30"/>
        <w:ind w:left="3405" w:right="0" w:firstLine="0"/>
        <w:jc w:val="both"/>
        <w:rPr>
          <w:rFonts w:hint="default" w:ascii="Times New Roman" w:hAnsi="Times New Roman" w:cs="Times New Roman"/>
          <w:b/>
          <w:sz w:val="21"/>
        </w:rPr>
      </w:pPr>
      <w:r>
        <w:rPr>
          <w:rFonts w:hint="default" w:ascii="Times New Roman" w:hAnsi="Times New Roman" w:cs="Times New Roman"/>
          <w:b/>
          <w:spacing w:val="-26"/>
          <w:sz w:val="21"/>
        </w:rPr>
        <w:t xml:space="preserve">表 </w:t>
      </w:r>
      <w:r>
        <w:rPr>
          <w:rFonts w:hint="default" w:ascii="Times New Roman" w:hAnsi="Times New Roman" w:cs="Times New Roman"/>
          <w:b/>
          <w:spacing w:val="-26"/>
          <w:sz w:val="21"/>
          <w:lang w:val="en-US" w:eastAsia="zh-CN"/>
        </w:rPr>
        <w:t>5.4-1</w:t>
      </w:r>
      <w:r>
        <w:rPr>
          <w:rFonts w:hint="default" w:ascii="Times New Roman" w:hAnsi="Times New Roman" w:eastAsia="Times New Roman" w:cs="Times New Roman"/>
          <w:b/>
          <w:spacing w:val="51"/>
          <w:sz w:val="21"/>
        </w:rPr>
        <w:t xml:space="preserve"> </w:t>
      </w:r>
      <w:r>
        <w:rPr>
          <w:rFonts w:hint="default" w:ascii="Times New Roman" w:hAnsi="Times New Roman" w:cs="Times New Roman"/>
          <w:b/>
          <w:spacing w:val="-1"/>
          <w:sz w:val="21"/>
        </w:rPr>
        <w:t>不同声屏障技术特点比较</w:t>
      </w:r>
    </w:p>
    <w:tbl>
      <w:tblPr>
        <w:tblStyle w:val="17"/>
        <w:tblW w:w="475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909"/>
        <w:gridCol w:w="876"/>
        <w:gridCol w:w="1958"/>
        <w:gridCol w:w="1974"/>
        <w:gridCol w:w="2578"/>
        <w:gridCol w:w="751"/>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39" w:hRule="atLeast"/>
          <w:jc w:val="center"/>
        </w:trPr>
        <w:tc>
          <w:tcPr>
            <w:tcW w:w="911" w:type="dxa"/>
            <w:tcBorders>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声屏障空</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间形式</w:t>
            </w:r>
          </w:p>
        </w:tc>
        <w:tc>
          <w:tcPr>
            <w:tcW w:w="878" w:type="dxa"/>
            <w:tcBorders>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图示</w:t>
            </w:r>
          </w:p>
        </w:tc>
        <w:tc>
          <w:tcPr>
            <w:tcW w:w="1961" w:type="dxa"/>
            <w:tcBorders>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类型</w:t>
            </w:r>
          </w:p>
        </w:tc>
        <w:tc>
          <w:tcPr>
            <w:tcW w:w="1978" w:type="dxa"/>
            <w:tcBorders>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特点</w:t>
            </w:r>
          </w:p>
        </w:tc>
        <w:tc>
          <w:tcPr>
            <w:tcW w:w="2583" w:type="dxa"/>
            <w:tcBorders>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适用条件</w:t>
            </w:r>
          </w:p>
        </w:tc>
        <w:tc>
          <w:tcPr>
            <w:tcW w:w="751" w:type="dxa"/>
            <w:tcBorders>
              <w:left w:val="single" w:color="000000" w:sz="8" w:space="0"/>
              <w:bottom w:val="single" w:color="000000" w:sz="6"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隔 声</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量</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178" w:hRule="atLeast"/>
          <w:jc w:val="center"/>
        </w:trPr>
        <w:tc>
          <w:tcPr>
            <w:tcW w:w="911" w:type="dxa"/>
            <w:tcBorders>
              <w:top w:val="single" w:color="000000" w:sz="6"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直立性</w:t>
            </w:r>
          </w:p>
        </w:tc>
        <w:tc>
          <w:tcPr>
            <w:tcW w:w="878" w:type="dxa"/>
            <w:tcBorders>
              <w:top w:val="single" w:color="000000" w:sz="6" w:space="0"/>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226060</wp:posOffset>
                      </wp:positionH>
                      <wp:positionV relativeFrom="paragraph">
                        <wp:posOffset>148590</wp:posOffset>
                      </wp:positionV>
                      <wp:extent cx="8890" cy="407035"/>
                      <wp:effectExtent l="9525" t="0" r="19685" b="12065"/>
                      <wp:wrapNone/>
                      <wp:docPr id="66" name="直接连接符 66"/>
                      <wp:cNvGraphicFramePr/>
                      <a:graphic xmlns:a="http://schemas.openxmlformats.org/drawingml/2006/main">
                        <a:graphicData uri="http://schemas.microsoft.com/office/word/2010/wordprocessingShape">
                          <wps:wsp>
                            <wps:cNvCnPr/>
                            <wps:spPr>
                              <a:xfrm flipH="1">
                                <a:off x="1725295" y="4758690"/>
                                <a:ext cx="8890" cy="407035"/>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7.8pt;margin-top:11.7pt;height:32.05pt;width:0.7pt;z-index:251665408;mso-width-relative:page;mso-height-relative:page;" filled="f" stroked="t" coordsize="21600,21600" o:gfxdata="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40ZCn1gAAAAcBAAAPAAAAAAAAAAEAIAAAACIAAABkcnMvZG93bnJldi54bWxQ&#10;SwECFAAUAAAACACHTuJAHVAGhvkBAADMAwAADgAAAAAAAAABACAAAAAlAQAAZHJzL2Uyb0RvYy54&#10;bWxQSwUGAAAAAAYABgBZAQAAkA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337185</wp:posOffset>
                      </wp:positionV>
                      <wp:extent cx="121285" cy="0"/>
                      <wp:effectExtent l="0" t="9525" r="12065" b="9525"/>
                      <wp:wrapNone/>
                      <wp:docPr id="65" name="直接连接符 65"/>
                      <wp:cNvGraphicFramePr/>
                      <a:graphic xmlns:a="http://schemas.openxmlformats.org/drawingml/2006/main">
                        <a:graphicData uri="http://schemas.microsoft.com/office/word/2010/wordprocessingShape">
                          <wps:wsp>
                            <wps:cNvCnPr/>
                            <wps:spPr>
                              <a:xfrm>
                                <a:off x="1604010" y="4923790"/>
                                <a:ext cx="121285" cy="0"/>
                              </a:xfrm>
                              <a:prstGeom prst="line">
                                <a:avLst/>
                              </a:prstGeom>
                              <a:ln w="19050">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25pt;margin-top:26.55pt;height:0pt;width:9.55pt;z-index:251664384;mso-width-relative:page;mso-height-relative:page;" filled="f" stroked="t" coordsize="21600,21600" o:gfxdata="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7zfV/UAAAABwEAAA8AAAAAAAAAAQAgAAAAIgAAAGRycy9kb3ducmV2LnhtbFBLAQIUABQAAAAI&#10;AIdO4kDI2IQ98QEAAL8DAAAOAAAAAAAAAAEAIAAAACMBAABkcnMvZTJvRG9jLnhtbFBLBQYAAAAA&#10;BgAGAFkBAACGBQAAAAA=&#10;">
                      <v:fill on="f" focussize="0,0"/>
                      <v:stroke weight="1.5pt" color="#000000 [3213]" miterlimit="8" joinstyle="miter"/>
                      <v:imagedata o:title=""/>
                      <o:lock v:ext="edit" aspectratio="f"/>
                    </v:line>
                  </w:pict>
                </mc:Fallback>
              </mc:AlternateContent>
            </w:r>
          </w:p>
        </w:tc>
        <w:tc>
          <w:tcPr>
            <w:tcW w:w="1961" w:type="dxa"/>
            <w:tcBorders>
              <w:top w:val="single" w:color="000000" w:sz="6" w:space="0"/>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分为厚壁型和薄屏型 2种</w:t>
            </w:r>
          </w:p>
        </w:tc>
        <w:tc>
          <w:tcPr>
            <w:tcW w:w="1978" w:type="dxa"/>
            <w:tcBorders>
              <w:top w:val="single" w:color="000000" w:sz="6" w:space="0"/>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用材简易，施工方便， 造价较低，受地形限制小</w:t>
            </w:r>
          </w:p>
        </w:tc>
        <w:tc>
          <w:tcPr>
            <w:tcW w:w="2583" w:type="dxa"/>
            <w:tcBorders>
              <w:top w:val="single" w:color="000000" w:sz="6" w:space="0"/>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在填、挖方路段及高架桥等均可使用，与环境融合性较高， 是众多种类声屏障中形式最简单的一种</w:t>
            </w:r>
          </w:p>
        </w:tc>
        <w:tc>
          <w:tcPr>
            <w:tcW w:w="751" w:type="dxa"/>
            <w:tcBorders>
              <w:top w:val="single" w:color="000000" w:sz="6" w:space="0"/>
              <w:left w:val="single" w:color="000000" w:sz="8" w:space="0"/>
              <w:bottom w:val="single" w:color="000000" w:sz="6"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3-14d</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B（A）</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919" w:hRule="atLeast"/>
          <w:jc w:val="center"/>
        </w:trPr>
        <w:tc>
          <w:tcPr>
            <w:tcW w:w="911" w:type="dxa"/>
            <w:tcBorders>
              <w:top w:val="single" w:color="000000" w:sz="6"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折板型</w:t>
            </w:r>
          </w:p>
        </w:tc>
        <w:tc>
          <w:tcPr>
            <w:tcW w:w="878" w:type="dxa"/>
            <w:tcBorders>
              <w:top w:val="single" w:color="000000" w:sz="6" w:space="0"/>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mc:AlternateContent>
                <mc:Choice Requires="wpg">
                  <w:drawing>
                    <wp:inline distT="0" distB="0" distL="114300" distR="114300">
                      <wp:extent cx="175895" cy="568960"/>
                      <wp:effectExtent l="0" t="0" r="0" b="4445"/>
                      <wp:docPr id="1356" name="组合 1444"/>
                      <wp:cNvGraphicFramePr/>
                      <a:graphic xmlns:a="http://schemas.openxmlformats.org/drawingml/2006/main">
                        <a:graphicData uri="http://schemas.microsoft.com/office/word/2010/wordprocessingGroup">
                          <wpg:wgp>
                            <wpg:cNvGrpSpPr/>
                            <wpg:grpSpPr>
                              <a:xfrm>
                                <a:off x="0" y="0"/>
                                <a:ext cx="175895" cy="568960"/>
                                <a:chOff x="0" y="0"/>
                                <a:chExt cx="277" cy="896"/>
                              </a:xfrm>
                            </wpg:grpSpPr>
                            <wps:wsp>
                              <wps:cNvPr id="1349" name="直线 1445"/>
                              <wps:cNvCnPr/>
                              <wps:spPr>
                                <a:xfrm>
                                  <a:off x="135" y="97"/>
                                  <a:ext cx="0" cy="300"/>
                                </a:xfrm>
                                <a:prstGeom prst="line">
                                  <a:avLst/>
                                </a:prstGeom>
                                <a:ln w="19050" cap="flat" cmpd="sng">
                                  <a:solidFill>
                                    <a:srgbClr val="000000"/>
                                  </a:solidFill>
                                  <a:prstDash val="solid"/>
                                  <a:headEnd type="none" w="med" len="med"/>
                                  <a:tailEnd type="none" w="med" len="med"/>
                                </a:ln>
                              </wps:spPr>
                              <wps:bodyPr upright="1"/>
                            </wps:wsp>
                            <wps:wsp>
                              <wps:cNvPr id="1350" name="直线 1446"/>
                              <wps:cNvCnPr/>
                              <wps:spPr>
                                <a:xfrm>
                                  <a:off x="7" y="405"/>
                                  <a:ext cx="262" cy="0"/>
                                </a:xfrm>
                                <a:prstGeom prst="line">
                                  <a:avLst/>
                                </a:prstGeom>
                                <a:ln w="19050" cap="flat" cmpd="sng">
                                  <a:solidFill>
                                    <a:srgbClr val="000000"/>
                                  </a:solidFill>
                                  <a:prstDash val="solid"/>
                                  <a:headEnd type="none" w="med" len="med"/>
                                  <a:tailEnd type="none" w="med" len="med"/>
                                </a:ln>
                              </wps:spPr>
                              <wps:bodyPr upright="1"/>
                            </wps:wsp>
                            <wps:wsp>
                              <wps:cNvPr id="1351" name="直线 1447"/>
                              <wps:cNvCnPr/>
                              <wps:spPr>
                                <a:xfrm flipV="1">
                                  <a:off x="135" y="15"/>
                                  <a:ext cx="127" cy="90"/>
                                </a:xfrm>
                                <a:prstGeom prst="line">
                                  <a:avLst/>
                                </a:prstGeom>
                                <a:ln w="19050" cap="flat" cmpd="sng">
                                  <a:solidFill>
                                    <a:srgbClr val="000000"/>
                                  </a:solidFill>
                                  <a:prstDash val="solid"/>
                                  <a:headEnd type="none" w="med" len="med"/>
                                  <a:tailEnd type="none" w="med" len="med"/>
                                </a:ln>
                              </wps:spPr>
                              <wps:bodyPr upright="1"/>
                            </wps:wsp>
                            <wps:wsp>
                              <wps:cNvPr id="1352" name="直线 1448"/>
                              <wps:cNvCnPr/>
                              <wps:spPr>
                                <a:xfrm>
                                  <a:off x="135" y="573"/>
                                  <a:ext cx="0" cy="300"/>
                                </a:xfrm>
                                <a:prstGeom prst="line">
                                  <a:avLst/>
                                </a:prstGeom>
                                <a:ln w="19050" cap="flat" cmpd="sng">
                                  <a:solidFill>
                                    <a:srgbClr val="000000"/>
                                  </a:solidFill>
                                  <a:prstDash val="solid"/>
                                  <a:headEnd type="none" w="med" len="med"/>
                                  <a:tailEnd type="none" w="med" len="med"/>
                                </a:ln>
                              </wps:spPr>
                              <wps:bodyPr upright="1"/>
                            </wps:wsp>
                            <wps:wsp>
                              <wps:cNvPr id="1353" name="直线 1449"/>
                              <wps:cNvCnPr/>
                              <wps:spPr>
                                <a:xfrm>
                                  <a:off x="7" y="881"/>
                                  <a:ext cx="262" cy="0"/>
                                </a:xfrm>
                                <a:prstGeom prst="line">
                                  <a:avLst/>
                                </a:prstGeom>
                                <a:ln w="19050" cap="flat" cmpd="sng">
                                  <a:solidFill>
                                    <a:srgbClr val="000000"/>
                                  </a:solidFill>
                                  <a:prstDash val="solid"/>
                                  <a:headEnd type="none" w="med" len="med"/>
                                  <a:tailEnd type="none" w="med" len="med"/>
                                </a:ln>
                              </wps:spPr>
                              <wps:bodyPr upright="1"/>
                            </wps:wsp>
                            <wps:wsp>
                              <wps:cNvPr id="1354" name="直线 1450"/>
                              <wps:cNvCnPr/>
                              <wps:spPr>
                                <a:xfrm flipV="1">
                                  <a:off x="135" y="491"/>
                                  <a:ext cx="127" cy="90"/>
                                </a:xfrm>
                                <a:prstGeom prst="line">
                                  <a:avLst/>
                                </a:prstGeom>
                                <a:ln w="19050" cap="flat" cmpd="sng">
                                  <a:solidFill>
                                    <a:srgbClr val="000000"/>
                                  </a:solidFill>
                                  <a:prstDash val="solid"/>
                                  <a:headEnd type="none" w="med" len="med"/>
                                  <a:tailEnd type="none" w="med" len="med"/>
                                </a:ln>
                              </wps:spPr>
                              <wps:bodyPr upright="1"/>
                            </wps:wsp>
                            <wps:wsp>
                              <wps:cNvPr id="1355" name="直线 1451"/>
                              <wps:cNvCnPr/>
                              <wps:spPr>
                                <a:xfrm flipH="1" flipV="1">
                                  <a:off x="15" y="499"/>
                                  <a:ext cx="127" cy="90"/>
                                </a:xfrm>
                                <a:prstGeom prst="line">
                                  <a:avLst/>
                                </a:prstGeom>
                                <a:ln w="19050" cap="flat" cmpd="sng">
                                  <a:solidFill>
                                    <a:srgbClr val="000000"/>
                                  </a:solidFill>
                                  <a:prstDash val="solid"/>
                                  <a:headEnd type="none" w="med" len="med"/>
                                  <a:tailEnd type="none" w="med" len="med"/>
                                </a:ln>
                              </wps:spPr>
                              <wps:bodyPr upright="1"/>
                            </wps:wsp>
                          </wpg:wgp>
                        </a:graphicData>
                      </a:graphic>
                    </wp:inline>
                  </w:drawing>
                </mc:Choice>
                <mc:Fallback>
                  <w:pict>
                    <v:group id="组合 1444" o:spid="_x0000_s1026" o:spt="203" style="height:44.8pt;width:13.85pt;" coordsize="277,896" o:gfxdata="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q/KeztUAAAADAQAADwAAAAAAAAABACAAAAAiAAAAZHJzL2Rv&#10;d25yZXYueG1sUEsBAhQAFAAAAAgAh07iQGzGcHYhAwAASxEAAA4AAAAAAAAAAQAgAAAAJAEAAGRy&#10;cy9lMm9Eb2MueG1sUEsFBgAAAAAGAAYAWQEAALcGAAAAAA==&#10;">
                      <o:lock v:ext="edit" aspectratio="f"/>
                      <v:line id="直线 1445" o:spid="_x0000_s1026" o:spt="20" style="position:absolute;left:135;top:97;height:300;width:0;" filled="f" stroked="t" coordsize="21600,21600" o:gfxdata="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a64m/&#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line id="直线 1446" o:spid="_x0000_s1026" o:spt="20" style="position:absolute;left:7;top:405;height:0;width:262;" filled="f" stroked="t" coordsize="21600,21600" o:gfxdata="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nUyb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线 1447" o:spid="_x0000_s1026" o:spt="20" style="position:absolute;left:135;top:15;flip:y;height:90;width:127;" filled="f" stroked="t" coordsize="21600,21600" o:gfxdata="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LZBK/&#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line id="直线 1448" o:spid="_x0000_s1026" o:spt="20" style="position:absolute;left:135;top:573;height:300;width:0;" filled="f" stroked="t" coordsize="21600,21600" o:gfxdata="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7yW/&#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line id="直线 1449" o:spid="_x0000_s1026" o:spt="20" style="position:absolute;left:7;top:881;height:0;width:262;" filled="f" stroked="t" coordsize="21600,21600" o:gfxdata="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rSr6/&#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line id="直线 1450" o:spid="_x0000_s1026" o:spt="20" style="position:absolute;left:135;top:491;flip:y;height:90;width:127;" filled="f" stroked="t" coordsize="21600,21600" o:gfxdata="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zHir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线 1451" o:spid="_x0000_s1026" o:spt="20" style="position:absolute;left:15;top:499;flip:x y;height:90;width:127;" filled="f" stroked="t" coordsize="21600,21600" o:gfxdata="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ECia8AAAA&#10;3Q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w10:wrap type="none"/>
                      <w10:anchorlock/>
                    </v:group>
                  </w:pict>
                </mc:Fallback>
              </mc:AlternateConten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mc:AlternateContent>
                <mc:Choice Requires="wpg">
                  <w:drawing>
                    <wp:inline distT="0" distB="0" distL="114300" distR="114300">
                      <wp:extent cx="189865" cy="204470"/>
                      <wp:effectExtent l="0" t="0" r="4445" b="6985"/>
                      <wp:docPr id="1361" name="组合 1452"/>
                      <wp:cNvGraphicFramePr/>
                      <a:graphic xmlns:a="http://schemas.openxmlformats.org/drawingml/2006/main">
                        <a:graphicData uri="http://schemas.microsoft.com/office/word/2010/wordprocessingGroup">
                          <wpg:wgp>
                            <wpg:cNvGrpSpPr/>
                            <wpg:grpSpPr>
                              <a:xfrm>
                                <a:off x="0" y="0"/>
                                <a:ext cx="189865" cy="204470"/>
                                <a:chOff x="0" y="0"/>
                                <a:chExt cx="299" cy="322"/>
                              </a:xfrm>
                            </wpg:grpSpPr>
                            <wps:wsp>
                              <wps:cNvPr id="1357" name="直线 1453"/>
                              <wps:cNvCnPr/>
                              <wps:spPr>
                                <a:xfrm>
                                  <a:off x="142" y="7"/>
                                  <a:ext cx="0" cy="300"/>
                                </a:xfrm>
                                <a:prstGeom prst="line">
                                  <a:avLst/>
                                </a:prstGeom>
                                <a:ln w="19050" cap="flat" cmpd="sng">
                                  <a:solidFill>
                                    <a:srgbClr val="000000"/>
                                  </a:solidFill>
                                  <a:prstDash val="solid"/>
                                  <a:headEnd type="none" w="med" len="med"/>
                                  <a:tailEnd type="none" w="med" len="med"/>
                                </a:ln>
                              </wps:spPr>
                              <wps:bodyPr upright="1"/>
                            </wps:wsp>
                            <wps:wsp>
                              <wps:cNvPr id="1358" name="直线 1454"/>
                              <wps:cNvCnPr/>
                              <wps:spPr>
                                <a:xfrm>
                                  <a:off x="22" y="307"/>
                                  <a:ext cx="262" cy="0"/>
                                </a:xfrm>
                                <a:prstGeom prst="line">
                                  <a:avLst/>
                                </a:prstGeom>
                                <a:ln w="19050" cap="flat" cmpd="sng">
                                  <a:solidFill>
                                    <a:srgbClr val="000000"/>
                                  </a:solidFill>
                                  <a:prstDash val="solid"/>
                                  <a:headEnd type="none" w="med" len="med"/>
                                  <a:tailEnd type="none" w="med" len="med"/>
                                </a:ln>
                              </wps:spPr>
                              <wps:bodyPr upright="1"/>
                            </wps:wsp>
                            <wps:wsp>
                              <wps:cNvPr id="1359" name="直线 1455"/>
                              <wps:cNvCnPr/>
                              <wps:spPr>
                                <a:xfrm>
                                  <a:off x="150" y="15"/>
                                  <a:ext cx="134" cy="112"/>
                                </a:xfrm>
                                <a:prstGeom prst="line">
                                  <a:avLst/>
                                </a:prstGeom>
                                <a:ln w="19050" cap="flat" cmpd="sng">
                                  <a:solidFill>
                                    <a:srgbClr val="000000"/>
                                  </a:solidFill>
                                  <a:prstDash val="solid"/>
                                  <a:headEnd type="none" w="med" len="med"/>
                                  <a:tailEnd type="none" w="med" len="med"/>
                                </a:ln>
                              </wps:spPr>
                              <wps:bodyPr upright="1"/>
                            </wps:wsp>
                            <wps:wsp>
                              <wps:cNvPr id="1360" name="直线 1456"/>
                              <wps:cNvCnPr/>
                              <wps:spPr>
                                <a:xfrm flipH="1">
                                  <a:off x="15" y="30"/>
                                  <a:ext cx="134" cy="97"/>
                                </a:xfrm>
                                <a:prstGeom prst="line">
                                  <a:avLst/>
                                </a:prstGeom>
                                <a:ln w="19050" cap="flat" cmpd="sng">
                                  <a:solidFill>
                                    <a:srgbClr val="000000"/>
                                  </a:solidFill>
                                  <a:prstDash val="solid"/>
                                  <a:headEnd type="none" w="med" len="med"/>
                                  <a:tailEnd type="none" w="med" len="med"/>
                                </a:ln>
                              </wps:spPr>
                              <wps:bodyPr upright="1"/>
                            </wps:wsp>
                          </wpg:wgp>
                        </a:graphicData>
                      </a:graphic>
                    </wp:inline>
                  </w:drawing>
                </mc:Choice>
                <mc:Fallback>
                  <w:pict>
                    <v:group id="组合 1452" o:spid="_x0000_s1026" o:spt="203" style="height:16.1pt;width:14.95pt;" coordsize="299,322" o:gfxdata="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T4KgPdQAAAADAQAADwAAAAAAAAABACAAAAAiAAAAZHJzL2Rvd25yZXYueG1sUEsB&#10;AhQAFAAAAAgAh07iQOW3rHzdAgAAIgsAAA4AAAAAAAAAAQAgAAAAIwEAAGRycy9lMm9Eb2MueG1s&#10;UEsFBgAAAAAGAAYAWQEAAHIGAAAAAA==&#10;">
                      <o:lock v:ext="edit" aspectratio="f"/>
                      <v:line id="直线 1453" o:spid="_x0000_s1026" o:spt="20" style="position:absolute;left:142;top:7;height:300;width:0;" filled="f" stroked="t" coordsize="21600,21600" o:gfxdata="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BMvb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线 1454" o:spid="_x0000_s1026" o:spt="20" style="position:absolute;left:22;top:307;height:0;width:262;" filled="f" stroked="t" coordsize="21600,21600" o:gfxdata="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Yz7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线 1455" o:spid="_x0000_s1026" o:spt="20" style="position:absolute;left:150;top:15;height:112;width:134;" filled="f" stroked="t" coordsize="21600,21600" o:gfxdata="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DfVS/&#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line id="直线 1456" o:spid="_x0000_s1026" o:spt="20" style="position:absolute;left:15;top:30;flip:x;height:97;width:134;" filled="f" stroked="t" coordsize="21600,21600" o:gfxdata="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ws0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w10:wrap type="none"/>
                      <w10:anchorlock/>
                    </v:group>
                  </w:pict>
                </mc:Fallback>
              </mc:AlternateContent>
            </w:r>
          </w:p>
        </w:tc>
        <w:tc>
          <w:tcPr>
            <w:tcW w:w="1961" w:type="dxa"/>
            <w:tcBorders>
              <w:top w:val="single" w:color="000000" w:sz="6" w:space="0"/>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分为逆 L 型、Y 型、圆弧形、箭型、鹿角型、水车型等</w:t>
            </w:r>
          </w:p>
        </w:tc>
        <w:tc>
          <w:tcPr>
            <w:tcW w:w="1978" w:type="dxa"/>
            <w:tcBorders>
              <w:top w:val="single" w:color="000000" w:sz="6" w:space="0"/>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降噪效果与直立式相比要大一些</w:t>
            </w:r>
          </w:p>
        </w:tc>
        <w:tc>
          <w:tcPr>
            <w:tcW w:w="2583" w:type="dxa"/>
            <w:tcBorders>
              <w:top w:val="single" w:color="000000" w:sz="6" w:space="0"/>
              <w:left w:val="single" w:color="000000" w:sz="8" w:space="0"/>
              <w:bottom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一般用于降噪要求较高但声屏障的高度又有一定限制的场合</w:t>
            </w:r>
          </w:p>
        </w:tc>
        <w:tc>
          <w:tcPr>
            <w:tcW w:w="751" w:type="dxa"/>
            <w:tcBorders>
              <w:top w:val="single" w:color="000000" w:sz="6" w:space="0"/>
              <w:left w:val="single" w:color="000000" w:sz="8" w:space="0"/>
              <w:bottom w:val="single" w:color="000000" w:sz="6"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5-15d</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B（A）</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280" w:hRule="atLeast"/>
          <w:jc w:val="center"/>
        </w:trPr>
        <w:tc>
          <w:tcPr>
            <w:tcW w:w="911" w:type="dxa"/>
            <w:tcBorders>
              <w:top w:val="single" w:color="000000" w:sz="6"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封闭型</w:t>
            </w:r>
          </w:p>
        </w:tc>
        <w:tc>
          <w:tcPr>
            <w:tcW w:w="878" w:type="dxa"/>
            <w:tcBorders>
              <w:top w:val="single" w:color="000000" w:sz="6" w:space="0"/>
              <w:left w:val="single" w:color="000000" w:sz="8"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mc:AlternateContent>
                <mc:Choice Requires="wpg">
                  <w:drawing>
                    <wp:inline distT="0" distB="0" distL="114300" distR="114300">
                      <wp:extent cx="194310" cy="179705"/>
                      <wp:effectExtent l="0" t="0" r="15240" b="10795"/>
                      <wp:docPr id="1364" name="组合 1457"/>
                      <wp:cNvGraphicFramePr/>
                      <a:graphic xmlns:a="http://schemas.openxmlformats.org/drawingml/2006/main">
                        <a:graphicData uri="http://schemas.microsoft.com/office/word/2010/wordprocessingGroup">
                          <wpg:wgp>
                            <wpg:cNvGrpSpPr/>
                            <wpg:grpSpPr>
                              <a:xfrm>
                                <a:off x="0" y="0"/>
                                <a:ext cx="194310" cy="179705"/>
                                <a:chOff x="0" y="0"/>
                                <a:chExt cx="306" cy="283"/>
                              </a:xfrm>
                            </wpg:grpSpPr>
                            <wps:wsp>
                              <wps:cNvPr id="1362" name="直线 1458"/>
                              <wps:cNvCnPr/>
                              <wps:spPr>
                                <a:xfrm>
                                  <a:off x="0" y="268"/>
                                  <a:ext cx="306" cy="0"/>
                                </a:xfrm>
                                <a:prstGeom prst="line">
                                  <a:avLst/>
                                </a:prstGeom>
                                <a:ln w="19050" cap="flat" cmpd="sng">
                                  <a:solidFill>
                                    <a:srgbClr val="000000"/>
                                  </a:solidFill>
                                  <a:prstDash val="solid"/>
                                  <a:headEnd type="none" w="med" len="med"/>
                                  <a:tailEnd type="none" w="med" len="med"/>
                                </a:ln>
                              </wps:spPr>
                              <wps:bodyPr upright="1"/>
                            </wps:wsp>
                            <wps:wsp>
                              <wps:cNvPr id="1363" name="任意多边形 1459"/>
                              <wps:cNvSpPr/>
                              <wps:spPr>
                                <a:xfrm>
                                  <a:off x="45" y="15"/>
                                  <a:ext cx="210" cy="165"/>
                                </a:xfrm>
                                <a:custGeom>
                                  <a:avLst/>
                                  <a:gdLst/>
                                  <a:ahLst/>
                                  <a:cxnLst/>
                                  <a:pathLst>
                                    <a:path w="210" h="165">
                                      <a:moveTo>
                                        <a:pt x="0" y="0"/>
                                      </a:moveTo>
                                      <a:lnTo>
                                        <a:pt x="82" y="13"/>
                                      </a:lnTo>
                                      <a:lnTo>
                                        <a:pt x="149" y="48"/>
                                      </a:lnTo>
                                      <a:lnTo>
                                        <a:pt x="194" y="101"/>
                                      </a:lnTo>
                                      <a:lnTo>
                                        <a:pt x="210" y="165"/>
                                      </a:lnTo>
                                    </a:path>
                                  </a:pathLst>
                                </a:custGeom>
                                <a:noFill/>
                                <a:ln w="19050" cap="flat" cmpd="sng">
                                  <a:solidFill>
                                    <a:srgbClr val="000000"/>
                                  </a:solidFill>
                                  <a:prstDash val="solid"/>
                                  <a:headEnd type="none" w="med" len="med"/>
                                  <a:tailEnd type="none" w="med" len="med"/>
                                </a:ln>
                              </wps:spPr>
                              <wps:bodyPr upright="1"/>
                            </wps:wsp>
                          </wpg:wgp>
                        </a:graphicData>
                      </a:graphic>
                    </wp:inline>
                  </w:drawing>
                </mc:Choice>
                <mc:Fallback>
                  <w:pict>
                    <v:group id="组合 1457" o:spid="_x0000_s1026" o:spt="203" style="height:14.15pt;width:15.3pt;" coordsize="306,283" o:gfxdata="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Gp9x13UAAAAAwEAAA8AAAAAAAAAAQAgAAAAIgAAAGRycy9kb3ducmV2LnhtbFBLAQIUABQAAAAI&#10;AIdO4kCDReokDgMAADUIAAAOAAAAAAAAAAEAIAAAACMBAABkcnMvZTJvRG9jLnhtbFBLBQYAAAAA&#10;BgAGAFkBAACjBgAAAAA=&#10;">
                      <o:lock v:ext="edit" aspectratio="f"/>
                      <v:line id="直线 1458" o:spid="_x0000_s1026" o:spt="20" style="position:absolute;left:0;top:268;height:0;width:306;" filled="f" stroked="t" coordsize="21600,21600" o:gfxdata="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iyWY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shape id="任意多边形 1459" o:spid="_x0000_s1026" o:spt="100" style="position:absolute;left:45;top:15;height:165;width:210;" filled="f" stroked="t" coordsize="210,165" o:gfxdata="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T9FL4A&#10;AADdAAAADwAAAAAAAAABACAAAAAiAAAAZHJzL2Rvd25yZXYueG1sUEsBAhQAFAAAAAgAh07iQDMv&#10;BZ47AAAAOQAAABAAAAAAAAAAAQAgAAAADQEAAGRycy9zaGFwZXhtbC54bWxQSwUGAAAAAAYABgBb&#10;AQAAtwMAAAAA&#10;" path="m0,0l82,13,149,48,194,101,210,165e">
                        <v:fill on="f" focussize="0,0"/>
                        <v:stroke weight="1.5pt" color="#000000" joinstyle="round"/>
                        <v:imagedata o:title=""/>
                        <o:lock v:ext="edit" aspectratio="f"/>
                      </v:shape>
                      <w10:wrap type="none"/>
                      <w10:anchorlock/>
                    </v:group>
                  </w:pict>
                </mc:Fallback>
              </mc:AlternateConten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mc:AlternateContent>
                <mc:Choice Requires="wpg">
                  <w:drawing>
                    <wp:inline distT="0" distB="0" distL="114300" distR="114300">
                      <wp:extent cx="276225" cy="109220"/>
                      <wp:effectExtent l="0" t="0" r="9525" b="5080"/>
                      <wp:docPr id="1367" name="组合 1460"/>
                      <wp:cNvGraphicFramePr/>
                      <a:graphic xmlns:a="http://schemas.openxmlformats.org/drawingml/2006/main">
                        <a:graphicData uri="http://schemas.microsoft.com/office/word/2010/wordprocessingGroup">
                          <wpg:wgp>
                            <wpg:cNvGrpSpPr/>
                            <wpg:grpSpPr>
                              <a:xfrm>
                                <a:off x="0" y="0"/>
                                <a:ext cx="276225" cy="109220"/>
                                <a:chOff x="0" y="0"/>
                                <a:chExt cx="435" cy="172"/>
                              </a:xfrm>
                            </wpg:grpSpPr>
                            <pic:pic xmlns:pic="http://schemas.openxmlformats.org/drawingml/2006/picture">
                              <pic:nvPicPr>
                                <pic:cNvPr id="1365" name="图片 1461"/>
                                <pic:cNvPicPr>
                                  <a:picLocks noChangeAspect="1"/>
                                </pic:cNvPicPr>
                              </pic:nvPicPr>
                              <pic:blipFill>
                                <a:blip r:embed="rId128"/>
                                <a:stretch>
                                  <a:fillRect/>
                                </a:stretch>
                              </pic:blipFill>
                              <pic:spPr>
                                <a:xfrm>
                                  <a:off x="23" y="0"/>
                                  <a:ext cx="352" cy="166"/>
                                </a:xfrm>
                                <a:prstGeom prst="rect">
                                  <a:avLst/>
                                </a:prstGeom>
                                <a:noFill/>
                                <a:ln>
                                  <a:noFill/>
                                </a:ln>
                              </pic:spPr>
                            </pic:pic>
                            <wps:wsp>
                              <wps:cNvPr id="1366" name="直线 1462"/>
                              <wps:cNvCnPr/>
                              <wps:spPr>
                                <a:xfrm>
                                  <a:off x="0" y="157"/>
                                  <a:ext cx="435" cy="0"/>
                                </a:xfrm>
                                <a:prstGeom prst="line">
                                  <a:avLst/>
                                </a:prstGeom>
                                <a:ln w="19050" cap="flat" cmpd="sng">
                                  <a:solidFill>
                                    <a:srgbClr val="000000"/>
                                  </a:solidFill>
                                  <a:prstDash val="solid"/>
                                  <a:headEnd type="none" w="med" len="med"/>
                                  <a:tailEnd type="none" w="med" len="med"/>
                                </a:ln>
                              </wps:spPr>
                              <wps:bodyPr upright="1"/>
                            </wps:wsp>
                          </wpg:wgp>
                        </a:graphicData>
                      </a:graphic>
                    </wp:inline>
                  </w:drawing>
                </mc:Choice>
                <mc:Fallback>
                  <w:pict>
                    <v:group id="组合 1460" o:spid="_x0000_s1026" o:spt="203" style="height:8.6pt;width:21.75pt;" coordsize="435,172" o:gfxdata="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">
                      <o:lock v:ext="edit" aspectratio="f"/>
                      <v:shape id="图片 1461" o:spid="_x0000_s1026" o:spt="75" type="#_x0000_t75" style="position:absolute;left:23;top:0;height:166;width:352;" filled="f" o:preferrelative="t" stroked="f" coordsize="21600,21600" o:gfxdata="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NGursAAADd&#10;AAAADwAAAAAAAAABACAAAAAiAAAAZHJzL2Rvd25yZXYueG1sUEsBAhQAFAAAAAgAh07iQDMvBZ47&#10;AAAAOQAAABAAAAAAAAAAAQAgAAAACgEAAGRycy9zaGFwZXhtbC54bWxQSwUGAAAAAAYABgBbAQAA&#10;tAMAAAAA&#10;">
                        <v:fill on="f" focussize="0,0"/>
                        <v:stroke on="f"/>
                        <v:imagedata r:id="rId128" o:title=""/>
                        <o:lock v:ext="edit" aspectratio="t"/>
                      </v:shape>
                      <v:line id="直线 1462" o:spid="_x0000_s1026" o:spt="20" style="position:absolute;left:0;top:157;height:0;width:435;" filled="f" stroked="t" coordsize="21600,21600" o:gfxdata="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wI5u/&#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w10:wrap type="none"/>
                      <w10:anchorlock/>
                    </v:group>
                  </w:pict>
                </mc:Fallback>
              </mc:AlternateContent>
            </w:r>
          </w:p>
        </w:tc>
        <w:tc>
          <w:tcPr>
            <w:tcW w:w="1961" w:type="dxa"/>
            <w:tcBorders>
              <w:top w:val="single" w:color="000000" w:sz="6" w:space="0"/>
              <w:left w:val="single" w:color="000000" w:sz="8"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分为半封闭性和全封闭型</w:t>
            </w:r>
          </w:p>
        </w:tc>
        <w:tc>
          <w:tcPr>
            <w:tcW w:w="1978" w:type="dxa"/>
            <w:tcBorders>
              <w:top w:val="single" w:color="000000" w:sz="6" w:space="0"/>
              <w:left w:val="single" w:color="000000" w:sz="8"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降噪效果高，但具有造价高，汽车废气不易扩散、消防安全等问题</w:t>
            </w:r>
          </w:p>
        </w:tc>
        <w:tc>
          <w:tcPr>
            <w:tcW w:w="2583" w:type="dxa"/>
            <w:tcBorders>
              <w:top w:val="single" w:color="000000" w:sz="6" w:space="0"/>
              <w:left w:val="single" w:color="000000" w:sz="8" w:space="0"/>
              <w:righ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一般设置于人口稠密的城市规划居住区域，主要运用于城市高架桥。</w:t>
            </w:r>
          </w:p>
        </w:tc>
        <w:tc>
          <w:tcPr>
            <w:tcW w:w="751" w:type="dxa"/>
            <w:tcBorders>
              <w:top w:val="single" w:color="000000" w:sz="6" w:space="0"/>
              <w:left w:val="single" w:color="000000" w:sz="8"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20dB</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 A ） 以内</w:t>
            </w:r>
          </w:p>
        </w:tc>
      </w:tr>
    </w:tbl>
    <w:p>
      <w:pPr>
        <w:pStyle w:val="2"/>
        <w:spacing w:before="144"/>
        <w:ind w:left="733"/>
        <w:rPr>
          <w:rFonts w:hint="default" w:ascii="Times New Roman" w:hAnsi="Times New Roman" w:cs="Times New Roman"/>
        </w:rPr>
      </w:pPr>
    </w:p>
    <w:p>
      <w:pPr>
        <w:pStyle w:val="2"/>
        <w:spacing w:before="144"/>
        <w:ind w:left="733"/>
        <w:rPr>
          <w:rFonts w:hint="default" w:ascii="Times New Roman" w:hAnsi="Times New Roman" w:cs="Times New Roman"/>
        </w:rPr>
      </w:pPr>
      <w:r>
        <w:rPr>
          <w:rFonts w:hint="default" w:ascii="Times New Roman" w:hAnsi="Times New Roman" w:cs="Times New Roman"/>
        </w:rPr>
        <w:t>目前在四川省内公路交通噪声防治措施采用的声屏障主要为直立式及折臂式。</w:t>
      </w:r>
    </w:p>
    <w:p>
      <w:pPr>
        <w:pStyle w:val="2"/>
        <w:spacing w:before="172" w:line="374" w:lineRule="auto"/>
        <w:ind w:left="252" w:right="813" w:firstLine="480"/>
        <w:jc w:val="both"/>
        <w:rPr>
          <w:rFonts w:hint="default" w:ascii="Times New Roman" w:hAnsi="Times New Roman" w:cs="Times New Roman"/>
        </w:rPr>
      </w:pPr>
      <w:r>
        <w:rPr>
          <w:rFonts w:hint="default" w:ascii="Times New Roman" w:hAnsi="Times New Roman" w:cs="Times New Roman"/>
        </w:rPr>
        <w:t xml:space="preserve">对于本项目敏感点有以下特点：①路基或桥梁与敏感点房屋有一定高差；②敏感点房屋分布较密集且距相对公路较近；③敏感点附近除本项目交通噪声外无明显其他噪声源；④敏感点房屋主要为 </w:t>
      </w:r>
      <w:r>
        <w:rPr>
          <w:rFonts w:hint="default" w:ascii="Times New Roman" w:hAnsi="Times New Roman" w:eastAsia="Times New Roman" w:cs="Times New Roman"/>
        </w:rPr>
        <w:t>1~</w:t>
      </w:r>
      <w:r>
        <w:rPr>
          <w:rFonts w:hint="default" w:ascii="Times New Roman" w:hAnsi="Times New Roman" w:eastAsia="宋体" w:cs="Times New Roman"/>
          <w:lang w:val="en-US" w:eastAsia="zh-CN"/>
        </w:rPr>
        <w:t>6</w:t>
      </w:r>
      <w:r>
        <w:rPr>
          <w:rFonts w:hint="default" w:ascii="Times New Roman" w:hAnsi="Times New Roman" w:cs="Times New Roman"/>
        </w:rPr>
        <w:t>层砖混结构房屋。</w:t>
      </w:r>
    </w:p>
    <w:p>
      <w:pPr>
        <w:pStyle w:val="2"/>
        <w:spacing w:before="2" w:line="374" w:lineRule="auto"/>
        <w:ind w:left="252" w:right="820" w:firstLine="480"/>
        <w:rPr>
          <w:rFonts w:hint="default" w:ascii="Times New Roman" w:hAnsi="Times New Roman" w:cs="Times New Roman"/>
        </w:rPr>
      </w:pPr>
      <w:r>
        <w:rPr>
          <w:rFonts w:hint="default" w:ascii="Times New Roman" w:hAnsi="Times New Roman" w:cs="Times New Roman"/>
        </w:rPr>
        <w:t>本项目拟根据建筑物与公路的距离及高差情况对临敏感点路段推荐安装声屏障，并对声屏障选择合适的高度，以使敏感点处建筑物均位于其声影区，达到降噪的目的。</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隔声窗</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rPr>
      </w:pPr>
      <w:r>
        <w:rPr>
          <w:rFonts w:hint="default" w:ascii="Times New Roman" w:hAnsi="Times New Roman" w:cs="Times New Roman"/>
        </w:rPr>
        <w:t>隔声窗为对建筑物采取的被动降噪措施。普通隔声窗由于需要封闭才能起到降噪效果，这将在较大程度上影响人们的生活。新型通风隔声窗采用自然通风方式，具有全关闭</w:t>
      </w:r>
      <w:r>
        <w:rPr>
          <w:rFonts w:hint="eastAsia" w:ascii="Times New Roman" w:hAnsi="Times New Roman" w:cs="Times New Roman"/>
          <w:lang w:eastAsia="zh-CN"/>
        </w:rPr>
        <w:t>、</w:t>
      </w:r>
      <w:r>
        <w:rPr>
          <w:rFonts w:hint="default" w:ascii="Times New Roman" w:hAnsi="Times New Roman" w:cs="Times New Roman"/>
        </w:rPr>
        <w:t>通风</w:t>
      </w:r>
      <w:r>
        <w:rPr>
          <w:rFonts w:hint="eastAsia" w:ascii="Times New Roman" w:hAnsi="Times New Roman" w:cs="Times New Roman"/>
          <w:lang w:eastAsia="zh-CN"/>
        </w:rPr>
        <w:t>、</w:t>
      </w:r>
      <w:r>
        <w:rPr>
          <w:rFonts w:hint="default" w:ascii="Times New Roman" w:hAnsi="Times New Roman" w:cs="Times New Roman"/>
        </w:rPr>
        <w:t>全开启的功能，并采用透明双层微穿孔结构作为消声通道，通道厚度不超过 12cm，窗体最大厚度不超过 20cm。新型通风隔声窗具有良好的隔声性能，其隔声性能与上悬窗</w:t>
      </w:r>
      <w:r>
        <w:rPr>
          <w:rFonts w:hint="eastAsia" w:ascii="Times New Roman" w:hAnsi="Times New Roman" w:cs="Times New Roman"/>
          <w:lang w:eastAsia="zh-CN"/>
        </w:rPr>
        <w:t>、</w:t>
      </w:r>
      <w:r>
        <w:rPr>
          <w:rFonts w:hint="default" w:ascii="Times New Roman" w:hAnsi="Times New Roman" w:cs="Times New Roman"/>
        </w:rPr>
        <w:t>下悬窗的面积比</w:t>
      </w:r>
      <w:r>
        <w:rPr>
          <w:rFonts w:hint="eastAsia" w:ascii="Times New Roman" w:hAnsi="Times New Roman" w:cs="Times New Roman"/>
          <w:lang w:eastAsia="zh-CN"/>
        </w:rPr>
        <w:t>、</w:t>
      </w:r>
      <w:r>
        <w:rPr>
          <w:rFonts w:hint="default" w:ascii="Times New Roman" w:hAnsi="Times New Roman" w:cs="Times New Roman"/>
        </w:rPr>
        <w:t>微穿孔结构的吸声性能</w:t>
      </w:r>
      <w:r>
        <w:rPr>
          <w:rFonts w:hint="eastAsia" w:ascii="Times New Roman" w:hAnsi="Times New Roman" w:cs="Times New Roman"/>
          <w:lang w:eastAsia="zh-CN"/>
        </w:rPr>
        <w:t>、</w:t>
      </w:r>
      <w:r>
        <w:rPr>
          <w:rFonts w:hint="default" w:ascii="Times New Roman" w:hAnsi="Times New Roman" w:cs="Times New Roman"/>
        </w:rPr>
        <w:t>窗体宽度紧密相关，实验室测得的通风通道开启时隔声窗的隔声指数为 28dB，隔声性能频谱曲线与预测计算值吻合良好，现场隔声量略高于实验室测量值。现在专业厂家生产的通风隔声窗一般都可以降噪 25dB 以上。</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rPr>
      </w:pPr>
      <w:r>
        <w:rPr>
          <w:rFonts w:hint="default" w:ascii="Times New Roman" w:hAnsi="Times New Roman" w:cs="Times New Roman"/>
        </w:rPr>
        <w:t>考虑设置隔声窗敏感点一般具备如下特点：①超标量较大，敏感点在采取了声屏障措施后，其室外还有超标。②受影响敏感点距线位较远，且超标量较高。</w:t>
      </w:r>
    </w:p>
    <w:p>
      <w:pPr>
        <w:pStyle w:val="2"/>
        <w:rPr>
          <w:rFonts w:hint="default" w:ascii="Times New Roman" w:hAnsi="Times New Roman" w:cs="Times New Roman"/>
        </w:rPr>
      </w:pPr>
      <w:r>
        <w:rPr>
          <w:rFonts w:hint="default" w:ascii="Times New Roman" w:hAnsi="Times New Roman" w:cs="Times New Roman"/>
        </w:rPr>
        <w:drawing>
          <wp:anchor distT="0" distB="0" distL="0" distR="0" simplePos="0" relativeHeight="251663360" behindDoc="0" locked="0" layoutInCell="1" allowOverlap="1">
            <wp:simplePos x="0" y="0"/>
            <wp:positionH relativeFrom="page">
              <wp:posOffset>1076960</wp:posOffset>
            </wp:positionH>
            <wp:positionV relativeFrom="paragraph">
              <wp:posOffset>33020</wp:posOffset>
            </wp:positionV>
            <wp:extent cx="5228590" cy="2018665"/>
            <wp:effectExtent l="0" t="0" r="10160" b="635"/>
            <wp:wrapTopAndBottom/>
            <wp:docPr id="865"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image527.png"/>
                    <pic:cNvPicPr>
                      <a:picLocks noChangeAspect="1"/>
                    </pic:cNvPicPr>
                  </pic:nvPicPr>
                  <pic:blipFill>
                    <a:blip r:embed="rId129" cstate="print"/>
                    <a:stretch>
                      <a:fillRect/>
                    </a:stretch>
                  </pic:blipFill>
                  <pic:spPr>
                    <a:xfrm>
                      <a:off x="0" y="0"/>
                      <a:ext cx="5228590" cy="2018665"/>
                    </a:xfrm>
                    <a:prstGeom prst="rect">
                      <a:avLst/>
                    </a:prstGeom>
                  </pic:spPr>
                </pic:pic>
              </a:graphicData>
            </a:graphic>
          </wp:anchor>
        </w:drawing>
      </w:r>
    </w:p>
    <w:p>
      <w:pPr>
        <w:tabs>
          <w:tab w:val="left" w:pos="3736"/>
        </w:tabs>
        <w:spacing w:before="1"/>
        <w:ind w:right="0"/>
        <w:jc w:val="center"/>
        <w:rPr>
          <w:rFonts w:hint="default" w:ascii="Times New Roman" w:hAnsi="Times New Roman" w:cs="Times New Roman"/>
          <w:b/>
          <w:sz w:val="21"/>
        </w:rPr>
      </w:pPr>
      <w:r>
        <w:rPr>
          <w:rFonts w:hint="default" w:ascii="Times New Roman" w:hAnsi="Times New Roman" w:cs="Times New Roman"/>
          <w:b/>
          <w:sz w:val="21"/>
        </w:rPr>
        <w:t>图</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6.3-1</w:t>
      </w:r>
      <w:r>
        <w:rPr>
          <w:rFonts w:hint="eastAsia" w:ascii="Times New Roman" w:hAnsi="Times New Roman" w:eastAsia="宋体" w:cs="Times New Roman"/>
          <w:b/>
          <w:sz w:val="21"/>
          <w:lang w:val="en-US" w:eastAsia="zh-CN"/>
        </w:rPr>
        <w:t xml:space="preserve">  </w:t>
      </w:r>
      <w:r>
        <w:rPr>
          <w:rFonts w:hint="default" w:ascii="Times New Roman" w:hAnsi="Times New Roman" w:cs="Times New Roman"/>
          <w:b/>
          <w:sz w:val="21"/>
        </w:rPr>
        <w:t>通风隔声窗通</w:t>
      </w:r>
      <w:r>
        <w:rPr>
          <w:rFonts w:hint="default" w:ascii="Times New Roman" w:hAnsi="Times New Roman" w:cs="Times New Roman"/>
          <w:b/>
          <w:spacing w:val="-3"/>
          <w:sz w:val="21"/>
        </w:rPr>
        <w:t>风</w:t>
      </w:r>
      <w:r>
        <w:rPr>
          <w:rFonts w:hint="default" w:ascii="Times New Roman" w:hAnsi="Times New Roman" w:cs="Times New Roman"/>
          <w:b/>
          <w:sz w:val="21"/>
        </w:rPr>
        <w:t>及消声通道设计示</w:t>
      </w:r>
      <w:r>
        <w:rPr>
          <w:rFonts w:hint="default" w:ascii="Times New Roman" w:hAnsi="Times New Roman" w:cs="Times New Roman"/>
          <w:b/>
          <w:spacing w:val="-3"/>
          <w:sz w:val="21"/>
        </w:rPr>
        <w:t>意</w:t>
      </w:r>
      <w:r>
        <w:rPr>
          <w:rFonts w:hint="default" w:ascii="Times New Roman" w:hAnsi="Times New Roman" w:cs="Times New Roman"/>
          <w:b/>
          <w:sz w:val="21"/>
        </w:rPr>
        <w:t>图</w:t>
      </w:r>
    </w:p>
    <w:p>
      <w:pPr>
        <w:pStyle w:val="2"/>
        <w:spacing w:before="171" w:line="374" w:lineRule="auto"/>
        <w:ind w:left="252" w:right="816" w:firstLine="480"/>
        <w:rPr>
          <w:rFonts w:hint="default" w:ascii="Times New Roman" w:hAnsi="Times New Roman" w:cs="Times New Roman"/>
        </w:rPr>
      </w:pPr>
      <w:r>
        <w:rPr>
          <w:rFonts w:hint="default" w:ascii="Times New Roman" w:hAnsi="Times New Roman" w:cs="Times New Roman"/>
        </w:rPr>
        <w:t>本次评价优先推荐采用主动降噪声屏障治理措施，经预测，安装声屏障后可以实现室外达标，故未采取隔声窗措施。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）绿化树林带</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绿化树林带对噪声具有一定的阻隔作用，隔声效果和树林带的高度</w:t>
      </w:r>
      <w:r>
        <w:rPr>
          <w:rFonts w:hint="eastAsia" w:ascii="Times New Roman" w:hAnsi="Times New Roman" w:cs="Times New Roman"/>
          <w:lang w:eastAsia="zh-CN"/>
        </w:rPr>
        <w:t>、</w:t>
      </w:r>
      <w:r>
        <w:rPr>
          <w:rFonts w:hint="default" w:ascii="Times New Roman" w:hAnsi="Times New Roman" w:cs="Times New Roman"/>
          <w:lang w:eastAsia="zh-CN"/>
        </w:rPr>
        <w:t>密度等密切相关， 根据相关研究，乔灌结合密植的林带宽度为 10～30m 时，附加降噪量 1dB-5dB；宽度为 50m 时，附加降噪量 5dB-7dB；宽度为 100m 时，附加降噪量 10dB-12dB。其主要缺点是占地较大， 且种植初期效果不彰，投资较大，相对于隔声屏障而言效果较差。</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本项目公路两侧土地主要以林地</w:t>
      </w:r>
      <w:r>
        <w:rPr>
          <w:rFonts w:hint="eastAsia" w:ascii="Times New Roman" w:hAnsi="Times New Roman" w:cs="Times New Roman"/>
          <w:lang w:eastAsia="zh-CN"/>
        </w:rPr>
        <w:t>、</w:t>
      </w:r>
      <w:r>
        <w:rPr>
          <w:rFonts w:hint="default" w:ascii="Times New Roman" w:hAnsi="Times New Roman" w:cs="Times New Roman"/>
          <w:lang w:eastAsia="zh-CN"/>
        </w:rPr>
        <w:t>耕地为主。从节约用地角度考虑，种植绿化树林带不宜作为本项目推荐降噪措施。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）其他噪声控制措施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除上述降噪措施外，还有环保搬迁，调整建筑物使用功能等措施，这些措施都属于被动的噪声控制措施，虽然可从根本避免交通噪声的影响，但费用高，协调工作难度大，实施较困难，综合各方面因素，环保</w:t>
      </w:r>
      <w:r>
        <w:rPr>
          <w:rFonts w:hint="default" w:ascii="Times New Roman" w:hAnsi="Times New Roman" w:cs="Times New Roman"/>
          <w:lang w:val="en-US" w:eastAsia="zh-CN"/>
        </w:rPr>
        <w:t>搬迁</w:t>
      </w:r>
      <w:r>
        <w:rPr>
          <w:rFonts w:hint="eastAsia" w:ascii="Times New Roman" w:hAnsi="Times New Roman" w:cs="Times New Roman"/>
          <w:lang w:eastAsia="zh-CN"/>
        </w:rPr>
        <w:t>、</w:t>
      </w:r>
      <w:r>
        <w:rPr>
          <w:rFonts w:hint="default" w:ascii="Times New Roman" w:hAnsi="Times New Roman" w:cs="Times New Roman"/>
          <w:lang w:eastAsia="zh-CN"/>
        </w:rPr>
        <w:t>调整建筑物使用功能等措施不作为本次环评推荐措施。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上述噪声控制措施的利弊</w:t>
      </w:r>
      <w:r>
        <w:rPr>
          <w:rFonts w:hint="eastAsia" w:ascii="Times New Roman" w:hAnsi="Times New Roman" w:cs="Times New Roman"/>
          <w:lang w:eastAsia="zh-CN"/>
        </w:rPr>
        <w:t>、</w:t>
      </w:r>
      <w:r>
        <w:rPr>
          <w:rFonts w:hint="default" w:ascii="Times New Roman" w:hAnsi="Times New Roman" w:cs="Times New Roman"/>
          <w:lang w:eastAsia="zh-CN"/>
        </w:rPr>
        <w:t>防治效果及其实施费用比较，见</w:t>
      </w:r>
      <w:r>
        <w:rPr>
          <w:rFonts w:hint="default" w:ascii="Times New Roman" w:hAnsi="Times New Roman" w:cs="Times New Roman"/>
          <w:lang w:val="en-US" w:eastAsia="zh-CN"/>
        </w:rPr>
        <w:t>下</w:t>
      </w:r>
      <w:r>
        <w:rPr>
          <w:rFonts w:hint="default" w:ascii="Times New Roman" w:hAnsi="Times New Roman" w:cs="Times New Roman"/>
          <w:lang w:eastAsia="zh-CN"/>
        </w:rPr>
        <w:t>表。</w:t>
      </w:r>
    </w:p>
    <w:p>
      <w:pPr>
        <w:tabs>
          <w:tab w:val="left" w:pos="3841"/>
        </w:tabs>
        <w:spacing w:before="171" w:after="30"/>
        <w:ind w:left="2718" w:right="0" w:firstLine="0"/>
        <w:jc w:val="left"/>
        <w:rPr>
          <w:rFonts w:hint="default" w:ascii="Times New Roman" w:hAnsi="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宋体" w:cs="Times New Roman"/>
          <w:b/>
          <w:sz w:val="21"/>
          <w:lang w:val="en-US" w:eastAsia="zh-CN"/>
        </w:rPr>
        <w:t>5.4-2</w:t>
      </w:r>
      <w:r>
        <w:rPr>
          <w:rFonts w:hint="default" w:ascii="Times New Roman" w:hAnsi="Times New Roman" w:eastAsia="Times New Roman" w:cs="Times New Roman"/>
          <w:b/>
          <w:sz w:val="21"/>
        </w:rPr>
        <w:tab/>
      </w:r>
      <w:r>
        <w:rPr>
          <w:rFonts w:hint="default" w:ascii="Times New Roman" w:hAnsi="Times New Roman" w:cs="Times New Roman"/>
          <w:b/>
          <w:sz w:val="21"/>
        </w:rPr>
        <w:t>公路交通噪</w:t>
      </w:r>
      <w:r>
        <w:rPr>
          <w:rFonts w:hint="default" w:ascii="Times New Roman" w:hAnsi="Times New Roman" w:cs="Times New Roman"/>
          <w:b/>
          <w:spacing w:val="-3"/>
          <w:sz w:val="21"/>
        </w:rPr>
        <w:t>声</w:t>
      </w:r>
      <w:r>
        <w:rPr>
          <w:rFonts w:hint="default" w:ascii="Times New Roman" w:hAnsi="Times New Roman" w:cs="Times New Roman"/>
          <w:b/>
          <w:sz w:val="21"/>
        </w:rPr>
        <w:t>主要防治对策及措</w:t>
      </w:r>
      <w:r>
        <w:rPr>
          <w:rFonts w:hint="default" w:ascii="Times New Roman" w:hAnsi="Times New Roman" w:cs="Times New Roman"/>
          <w:b/>
          <w:spacing w:val="-3"/>
          <w:sz w:val="21"/>
        </w:rPr>
        <w:t>施</w:t>
      </w:r>
      <w:r>
        <w:rPr>
          <w:rFonts w:hint="default" w:ascii="Times New Roman" w:hAnsi="Times New Roman" w:cs="Times New Roman"/>
          <w:b/>
          <w:sz w:val="21"/>
        </w:rPr>
        <w:t>比选</w:t>
      </w:r>
    </w:p>
    <w:tbl>
      <w:tblPr>
        <w:tblStyle w:val="17"/>
        <w:tblW w:w="475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418"/>
        <w:gridCol w:w="680"/>
        <w:gridCol w:w="1554"/>
        <w:gridCol w:w="1750"/>
        <w:gridCol w:w="2340"/>
        <w:gridCol w:w="1041"/>
        <w:gridCol w:w="1263"/>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40" w:hRule="atLeast"/>
          <w:jc w:val="center"/>
        </w:trPr>
        <w:tc>
          <w:tcPr>
            <w:tcW w:w="432" w:type="dxa"/>
            <w:tcBorders>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序</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号</w:t>
            </w:r>
          </w:p>
        </w:tc>
        <w:tc>
          <w:tcPr>
            <w:tcW w:w="702" w:type="dxa"/>
            <w:tcBorders>
              <w:left w:val="single" w:color="000000"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防 治</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措施</w:t>
            </w:r>
          </w:p>
        </w:tc>
        <w:tc>
          <w:tcPr>
            <w:tcW w:w="1608" w:type="dxa"/>
            <w:tcBorders>
              <w:left w:val="single" w:color="000000"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优点</w:t>
            </w:r>
          </w:p>
        </w:tc>
        <w:tc>
          <w:tcPr>
            <w:tcW w:w="1811" w:type="dxa"/>
            <w:tcBorders>
              <w:left w:val="single" w:color="000000"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缺点</w:t>
            </w:r>
          </w:p>
        </w:tc>
        <w:tc>
          <w:tcPr>
            <w:tcW w:w="2421" w:type="dxa"/>
            <w:tcBorders>
              <w:left w:val="single" w:color="000000"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防治效果</w:t>
            </w:r>
          </w:p>
        </w:tc>
        <w:tc>
          <w:tcPr>
            <w:tcW w:w="1077" w:type="dxa"/>
            <w:tcBorders>
              <w:left w:val="single" w:color="000000"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实施费用</w:t>
            </w:r>
          </w:p>
        </w:tc>
        <w:tc>
          <w:tcPr>
            <w:tcW w:w="1306" w:type="dxa"/>
            <w:tcBorders>
              <w:left w:val="single" w:color="000000" w:sz="4" w:space="0"/>
              <w:bottom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本工程适用</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性分析</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498" w:hRule="atLeast"/>
          <w:jc w:val="center"/>
        </w:trPr>
        <w:tc>
          <w:tcPr>
            <w:tcW w:w="432" w:type="dxa"/>
            <w:tcBorders>
              <w:top w:val="single" w:color="000000"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1</w:t>
            </w:r>
          </w:p>
        </w:tc>
        <w:tc>
          <w:tcPr>
            <w:tcW w:w="702"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低噪</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声SMA</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路面</w:t>
            </w:r>
          </w:p>
        </w:tc>
        <w:tc>
          <w:tcPr>
            <w:tcW w:w="1608"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经济合理、保持</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环境原有风貌、行车安全、行车</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舒适</w:t>
            </w:r>
          </w:p>
        </w:tc>
        <w:tc>
          <w:tcPr>
            <w:tcW w:w="1811"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耐久性差、空隙易</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堵塞造成减噪效</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果降低，运营中定期冲洗，防止堵塞</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空隙影响降噪效果</w:t>
            </w:r>
          </w:p>
        </w:tc>
        <w:tc>
          <w:tcPr>
            <w:tcW w:w="2421"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可降低噪声3~4dB</w:t>
            </w:r>
          </w:p>
        </w:tc>
        <w:tc>
          <w:tcPr>
            <w:tcW w:w="1077"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约300万元/ km</w:t>
            </w:r>
          </w:p>
        </w:tc>
        <w:tc>
          <w:tcPr>
            <w:tcW w:w="1306" w:type="dxa"/>
            <w:tcBorders>
              <w:top w:val="single" w:color="000000" w:sz="4" w:space="0"/>
              <w:lef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工可方案已</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考 虑 采 用</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SMA 降噪沥青路面（纳入</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主体工程）</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rPr>
          <w:trHeight w:val="2006" w:hRule="atLeast"/>
          <w:jc w:val="center"/>
        </w:trPr>
        <w:tc>
          <w:tcPr>
            <w:tcW w:w="432" w:type="dxa"/>
            <w:tcBorders>
              <w:top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2</w:t>
            </w:r>
          </w:p>
        </w:tc>
        <w:tc>
          <w:tcPr>
            <w:tcW w:w="702"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声障</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屏</w:t>
            </w:r>
          </w:p>
        </w:tc>
        <w:tc>
          <w:tcPr>
            <w:tcW w:w="1608"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节约土地、简</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单、实用、可行、有效、一次性投资小，易在公路建设中实施</w:t>
            </w:r>
          </w:p>
        </w:tc>
        <w:tc>
          <w:tcPr>
            <w:tcW w:w="1811"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距离道路中心线</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60m 以内的敏感目标防噪效果好，造</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价较高；影响行车</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安全。</w:t>
            </w:r>
          </w:p>
        </w:tc>
        <w:tc>
          <w:tcPr>
            <w:tcW w:w="2421"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声屏障设计应由专业环保</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和结构设计单位承担，且</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首先应做好声屏障声学设计，即合理设计声屏障位</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置、高度、长度、插入损</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失值、声学材料等。一般</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可降低噪声5-15dB</w:t>
            </w:r>
          </w:p>
        </w:tc>
        <w:tc>
          <w:tcPr>
            <w:tcW w:w="1077"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2000～5000元/米（根据声学材料区别）</w:t>
            </w:r>
          </w:p>
        </w:tc>
        <w:tc>
          <w:tcPr>
            <w:tcW w:w="1306" w:type="dxa"/>
            <w:tcBorders>
              <w:top w:val="single" w:color="000000" w:sz="4" w:space="0"/>
              <w:left w:val="single" w:color="000000" w:sz="4" w:space="0"/>
              <w:bottom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参考四川省</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已建公路噪声治理措施经验，本工程宜采用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907" w:hRule="atLeast"/>
          <w:jc w:val="center"/>
        </w:trPr>
        <w:tc>
          <w:tcPr>
            <w:tcW w:w="432" w:type="dxa"/>
            <w:tcBorders>
              <w:top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3</w:t>
            </w:r>
          </w:p>
        </w:tc>
        <w:tc>
          <w:tcPr>
            <w:tcW w:w="702"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通风</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式隔声窗</w:t>
            </w:r>
          </w:p>
        </w:tc>
        <w:tc>
          <w:tcPr>
            <w:tcW w:w="1608"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可用于公共建</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筑物，或者噪声</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污染特别严重，</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有25dBA以上的隔声效果，可以对室外所有噪声源起到隔声效果，使室内噪声满足使用</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要求</w:t>
            </w:r>
          </w:p>
        </w:tc>
        <w:tc>
          <w:tcPr>
            <w:tcW w:w="1811"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安装需在居民家中进行，需要居民配合。</w:t>
            </w:r>
          </w:p>
        </w:tc>
        <w:tc>
          <w:tcPr>
            <w:tcW w:w="2421" w:type="dxa"/>
            <w:vMerge w:val="restart"/>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隔声量＞25dB</w:t>
            </w:r>
          </w:p>
        </w:tc>
        <w:tc>
          <w:tcPr>
            <w:tcW w:w="1077" w:type="dxa"/>
            <w:vMerge w:val="restart"/>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1000元/m2</w:t>
            </w:r>
          </w:p>
        </w:tc>
        <w:tc>
          <w:tcPr>
            <w:tcW w:w="1306" w:type="dxa"/>
            <w:vMerge w:val="restart"/>
            <w:tcBorders>
              <w:top w:val="single" w:color="000000" w:sz="4" w:space="0"/>
              <w:left w:val="single" w:color="000000" w:sz="4" w:space="0"/>
              <w:bottom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本次评价优</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先推荐采用</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主动降低噪声</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屏障治理措施，经预测， 安装声屏障后可以实现室外达标，故未采取隔声窗措施</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105" w:hRule="atLeast"/>
          <w:jc w:val="center"/>
        </w:trPr>
        <w:tc>
          <w:tcPr>
            <w:tcW w:w="432" w:type="dxa"/>
            <w:tcBorders>
              <w:top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4</w:t>
            </w:r>
          </w:p>
        </w:tc>
        <w:tc>
          <w:tcPr>
            <w:tcW w:w="702"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降</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林</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噪</w:t>
            </w:r>
          </w:p>
        </w:tc>
        <w:tc>
          <w:tcPr>
            <w:tcW w:w="1608"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防噪、防尘、水</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土保持、改善生</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态环境和美化环境等综合功能对人的心理作用良好</w:t>
            </w:r>
          </w:p>
        </w:tc>
        <w:tc>
          <w:tcPr>
            <w:tcW w:w="1811"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占用土地面积较</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大，要达到一定降</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噪效果需较长时间，降噪效果季节</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性变化大，适用性</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受到限制</w:t>
            </w:r>
          </w:p>
        </w:tc>
        <w:tc>
          <w:tcPr>
            <w:tcW w:w="24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与林带的宽度、高度、位置、配置方式以及植物种类有密切关系。乔灌结合密植的林带宽度为 10～30m 时 ， 附 加 降 噪 量1dB-5dB；宽度为50m时，附加降噪量5dB-7dB；宽度为100m时，附加降噪量 10dB-12dB</w:t>
            </w:r>
          </w:p>
        </w:tc>
        <w:tc>
          <w:tcPr>
            <w:tcW w:w="107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150元/m</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（只包括苗木购置费和养护费用）</w:t>
            </w:r>
          </w:p>
        </w:tc>
        <w:tc>
          <w:tcPr>
            <w:tcW w:w="1306" w:type="dxa"/>
            <w:tcBorders>
              <w:top w:val="single" w:color="000000" w:sz="4" w:space="0"/>
              <w:left w:val="single" w:color="000000" w:sz="4" w:space="0"/>
              <w:bottom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由于占地较大，降噪效果较差，投资较高，本工程不宜采用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rPr>
          <w:trHeight w:val="1375" w:hRule="atLeast"/>
          <w:jc w:val="center"/>
        </w:trPr>
        <w:tc>
          <w:tcPr>
            <w:tcW w:w="432" w:type="dxa"/>
            <w:tcBorders>
              <w:top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5</w:t>
            </w:r>
          </w:p>
        </w:tc>
        <w:tc>
          <w:tcPr>
            <w:tcW w:w="702"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调整建筑物使用功能</w:t>
            </w:r>
          </w:p>
        </w:tc>
        <w:tc>
          <w:tcPr>
            <w:tcW w:w="1608"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可在一定程度</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上缓解噪声吵</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闹问题</w:t>
            </w:r>
          </w:p>
        </w:tc>
        <w:tc>
          <w:tcPr>
            <w:tcW w:w="1811"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实用性差，而且很难实施</w:t>
            </w:r>
          </w:p>
        </w:tc>
        <w:tc>
          <w:tcPr>
            <w:tcW w:w="2421"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难以估量</w:t>
            </w:r>
          </w:p>
        </w:tc>
        <w:tc>
          <w:tcPr>
            <w:tcW w:w="1077"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难以估算</w:t>
            </w:r>
          </w:p>
        </w:tc>
        <w:tc>
          <w:tcPr>
            <w:tcW w:w="1306" w:type="dxa"/>
            <w:tcBorders>
              <w:top w:val="single" w:color="000000" w:sz="4" w:space="0"/>
              <w:lef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不推荐采用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937" w:hRule="atLeast"/>
          <w:jc w:val="center"/>
        </w:trPr>
        <w:tc>
          <w:tcPr>
            <w:tcW w:w="432" w:type="dxa"/>
            <w:tcBorders>
              <w:top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6</w:t>
            </w:r>
          </w:p>
        </w:tc>
        <w:tc>
          <w:tcPr>
            <w:tcW w:w="703"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搬迁</w:t>
            </w:r>
          </w:p>
        </w:tc>
        <w:tc>
          <w:tcPr>
            <w:tcW w:w="1608"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具有可永久性</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“解决”噪声污</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染问题的优点，</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环境效益和社</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会效益显著</w:t>
            </w:r>
          </w:p>
        </w:tc>
        <w:tc>
          <w:tcPr>
            <w:tcW w:w="1811"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考虑重新征用土地进行开发建设， 综合投资巨大，同时实施搬迁也会产生新的环境问题</w:t>
            </w:r>
          </w:p>
        </w:tc>
        <w:tc>
          <w:tcPr>
            <w:tcW w:w="2421"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可彻底解决噪声扰民问题</w:t>
            </w:r>
          </w:p>
        </w:tc>
        <w:tc>
          <w:tcPr>
            <w:tcW w:w="1077" w:type="dxa"/>
            <w:tcBorders>
              <w:top w:val="single" w:color="000000" w:sz="4" w:space="0"/>
              <w:left w:val="single" w:color="000000" w:sz="4" w:space="0"/>
              <w:righ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约 30～50</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万元/户</w:t>
            </w:r>
          </w:p>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（不含征地费）</w:t>
            </w:r>
          </w:p>
        </w:tc>
        <w:tc>
          <w:tcPr>
            <w:tcW w:w="1306" w:type="dxa"/>
            <w:tcBorders>
              <w:top w:val="single" w:color="000000" w:sz="4" w:space="0"/>
              <w:left w:val="single" w:color="000000" w:sz="4" w:space="0"/>
            </w:tcBorders>
            <w:vAlign w:val="center"/>
          </w:tcPr>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不推荐采用</w:t>
            </w:r>
          </w:p>
        </w:tc>
      </w:tr>
    </w:tbl>
    <w:p>
      <w:pPr>
        <w:adjustRightInd w:val="0"/>
        <w:snapToGrid w:val="0"/>
        <w:spacing w:line="240" w:lineRule="auto"/>
        <w:jc w:val="center"/>
        <w:rPr>
          <w:rFonts w:hint="default" w:ascii="Times New Roman" w:hAnsi="Times New Roman" w:eastAsia="宋体" w:cs="Times New Roman"/>
          <w:b w:val="0"/>
          <w:bCs/>
          <w:sz w:val="21"/>
          <w:szCs w:val="21"/>
          <w:highlight w:val="none"/>
          <w:vertAlign w:val="baseline"/>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综上比选，本次评价推荐采用的工程降噪措施为安装声屏障，在采取声屏障措施后， 经预测，可实现室外达标。</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环评要求下阶段设计过程中，应以环评报告提出的噪声治理措施原则为基础，根据沿线噪声预测超标的敏感点的实际环境现状特征，进行针对性的噪声治理措施设计。</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val="en-US" w:eastAsia="zh-CN"/>
        </w:rPr>
        <w:t>1）</w:t>
      </w:r>
      <w:r>
        <w:rPr>
          <w:rFonts w:hint="default" w:ascii="Times New Roman" w:hAnsi="Times New Roman" w:cs="Times New Roman"/>
          <w:lang w:eastAsia="zh-CN"/>
        </w:rPr>
        <w:t>声屏障安装位置</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根据噪声传播规律，本项目安装于路肩处，但应满足公路行车安全相关规范要求。</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val="en-US" w:eastAsia="zh-CN"/>
        </w:rPr>
        <w:t>2）</w:t>
      </w:r>
      <w:r>
        <w:rPr>
          <w:rFonts w:hint="default" w:ascii="Times New Roman" w:hAnsi="Times New Roman" w:cs="Times New Roman"/>
          <w:lang w:eastAsia="zh-CN"/>
        </w:rPr>
        <w:t>声屏障设置高度</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声屏障高度的设置需要根据声学计算，在满足结构安全的基础上确定。结合当前公路声屏障普遍应用经验，从安全的角度出发，路侧式声屏障有效高度原则上不超过 6m。</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lang w:eastAsia="zh-CN"/>
        </w:rPr>
        <w:t>声屏障下阶段设计要求</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下阶段设计单位进行工程声屏障设计时应严格遵照原国家环境保护总局发布的《声屏障声学设计和测量规范》(HJ/T90－2004)</w:t>
      </w:r>
      <w:r>
        <w:rPr>
          <w:rFonts w:hint="eastAsia" w:ascii="Times New Roman" w:hAnsi="Times New Roman" w:cs="Times New Roman"/>
          <w:lang w:eastAsia="zh-CN"/>
        </w:rPr>
        <w:t>、</w:t>
      </w:r>
      <w:r>
        <w:rPr>
          <w:rFonts w:hint="default" w:ascii="Times New Roman" w:hAnsi="Times New Roman" w:cs="Times New Roman"/>
          <w:lang w:eastAsia="zh-CN"/>
        </w:rPr>
        <w:t>《公路环境保护设计规范》</w:t>
      </w:r>
      <w:r>
        <w:rPr>
          <w:rFonts w:hint="eastAsia" w:ascii="Times New Roman" w:hAnsi="Times New Roman" w:cs="Times New Roman"/>
          <w:lang w:eastAsia="zh-CN"/>
        </w:rPr>
        <w:t>（</w:t>
      </w:r>
      <w:r>
        <w:rPr>
          <w:rFonts w:hint="default" w:ascii="Times New Roman" w:hAnsi="Times New Roman" w:cs="Times New Roman"/>
          <w:lang w:eastAsia="zh-CN"/>
        </w:rPr>
        <w:t>JTG B04－2010</w:t>
      </w:r>
      <w:r>
        <w:rPr>
          <w:rFonts w:hint="eastAsia" w:ascii="Times New Roman" w:hAnsi="Times New Roman" w:cs="Times New Roman"/>
          <w:lang w:eastAsia="zh-CN"/>
        </w:rPr>
        <w:t>）</w:t>
      </w:r>
      <w:r>
        <w:rPr>
          <w:rFonts w:hint="default" w:ascii="Times New Roman" w:hAnsi="Times New Roman" w:cs="Times New Roman"/>
          <w:lang w:eastAsia="zh-CN"/>
        </w:rPr>
        <w:t>要求，选择合理的声屏障结构形式具体设置位置。声屏障安装应与地面紧密结合，不留缝隙，防止声波由空洞</w:t>
      </w:r>
      <w:r>
        <w:rPr>
          <w:rFonts w:hint="eastAsia" w:ascii="Times New Roman" w:hAnsi="Times New Roman" w:cs="Times New Roman"/>
          <w:lang w:eastAsia="zh-CN"/>
        </w:rPr>
        <w:t>、</w:t>
      </w:r>
      <w:r>
        <w:rPr>
          <w:rFonts w:hint="default" w:ascii="Times New Roman" w:hAnsi="Times New Roman" w:cs="Times New Roman"/>
          <w:lang w:eastAsia="zh-CN"/>
        </w:rPr>
        <w:t>缝隙产生衍射传播而降低声屏障的隔声效果。建议采用《公路桥梁伸缩装置通用技术条件》（JT/T327-2016）中的无缝式伸缩装置，可最大程度降低桥梁接头处伸缩缝噪音。声屏障设计和建设单位应着重考虑声屏障的隔声性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val="en-US" w:eastAsia="zh-CN"/>
        </w:rPr>
      </w:pPr>
      <w:bookmarkStart w:id="130" w:name="3.敏感点噪声治理方案及实施效果"/>
      <w:bookmarkEnd w:id="130"/>
      <w:bookmarkStart w:id="131" w:name="3.敏感点噪声治理方案及实施效果"/>
      <w:bookmarkEnd w:id="131"/>
      <w:r>
        <w:rPr>
          <w:rFonts w:hint="default" w:ascii="Times New Roman" w:hAnsi="Times New Roman" w:cs="Times New Roman"/>
          <w:lang w:val="en-US" w:eastAsia="zh-CN"/>
        </w:rPr>
        <w:t>6</w:t>
      </w:r>
      <w:r>
        <w:rPr>
          <w:rFonts w:hint="eastAsia" w:ascii="Times New Roman" w:hAnsi="Times New Roman" w:cs="Times New Roman"/>
          <w:lang w:val="en-US" w:eastAsia="zh-CN"/>
        </w:rPr>
        <w:t>、</w:t>
      </w:r>
      <w:r>
        <w:rPr>
          <w:rFonts w:hint="default" w:ascii="Times New Roman" w:hAnsi="Times New Roman" w:cs="Times New Roman"/>
          <w:lang w:val="en-US" w:eastAsia="zh-CN"/>
        </w:rPr>
        <w:t>敏感点噪声治理方案及实施效果</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具体噪声治理方案及实施效果详见下表 。</w:t>
      </w:r>
    </w:p>
    <w:p>
      <w:pPr>
        <w:spacing w:after="0"/>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sectPr>
          <w:footerReference r:id="rId6" w:type="default"/>
          <w:pgSz w:w="11910" w:h="16850"/>
          <w:pgMar w:top="1378" w:right="1179" w:bottom="1202" w:left="1219" w:header="589" w:footer="1232" w:gutter="0"/>
          <w:pgNumType w:fmt="decimal"/>
          <w:cols w:space="720" w:num="1"/>
        </w:sectPr>
      </w:pPr>
    </w:p>
    <w:p>
      <w:pPr>
        <w:jc w:val="center"/>
        <w:rPr>
          <w:rFonts w:hint="default" w:ascii="Times New Roman" w:hAnsi="Times New Roman" w:cs="Times New Roman"/>
          <w:b/>
          <w:sz w:val="21"/>
        </w:rPr>
      </w:pPr>
      <w:r>
        <w:rPr>
          <w:rFonts w:hint="default" w:ascii="Times New Roman" w:hAnsi="Times New Roman" w:cs="Times New Roman"/>
          <w:b/>
          <w:sz w:val="21"/>
          <w:lang w:val="en-US" w:eastAsia="zh-CN"/>
        </w:rPr>
        <w:t xml:space="preserve">表5.4-3 </w:t>
      </w:r>
      <w:r>
        <w:rPr>
          <w:rFonts w:hint="default" w:ascii="Times New Roman" w:hAnsi="Times New Roman" w:cs="Times New Roman"/>
          <w:b/>
          <w:sz w:val="21"/>
        </w:rPr>
        <w:t>声环境敏感</w:t>
      </w:r>
      <w:r>
        <w:rPr>
          <w:rFonts w:hint="default" w:ascii="Times New Roman" w:hAnsi="Times New Roman" w:cs="Times New Roman"/>
          <w:b/>
          <w:spacing w:val="-3"/>
          <w:sz w:val="21"/>
        </w:rPr>
        <w:t>点</w:t>
      </w:r>
      <w:r>
        <w:rPr>
          <w:rFonts w:hint="default" w:ascii="Times New Roman" w:hAnsi="Times New Roman" w:cs="Times New Roman"/>
          <w:b/>
          <w:sz w:val="21"/>
        </w:rPr>
        <w:t>营运期噪声防治措</w:t>
      </w:r>
      <w:r>
        <w:rPr>
          <w:rFonts w:hint="default" w:ascii="Times New Roman" w:hAnsi="Times New Roman" w:cs="Times New Roman"/>
          <w:b/>
          <w:spacing w:val="-3"/>
          <w:sz w:val="21"/>
        </w:rPr>
        <w:t>施</w:t>
      </w:r>
      <w:r>
        <w:rPr>
          <w:rFonts w:hint="default" w:ascii="Times New Roman" w:hAnsi="Times New Roman" w:cs="Times New Roman"/>
          <w:b/>
          <w:sz w:val="21"/>
        </w:rPr>
        <w:t>表</w:t>
      </w:r>
    </w:p>
    <w:tbl>
      <w:tblPr>
        <w:tblStyle w:val="17"/>
        <w:tblW w:w="474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79"/>
        <w:gridCol w:w="831"/>
        <w:gridCol w:w="832"/>
        <w:gridCol w:w="832"/>
        <w:gridCol w:w="832"/>
        <w:gridCol w:w="832"/>
        <w:gridCol w:w="832"/>
        <w:gridCol w:w="832"/>
        <w:gridCol w:w="832"/>
        <w:gridCol w:w="832"/>
        <w:gridCol w:w="832"/>
        <w:gridCol w:w="832"/>
        <w:gridCol w:w="832"/>
        <w:gridCol w:w="832"/>
        <w:gridCol w:w="832"/>
        <w:gridCol w:w="12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45"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敏感点名称</w:t>
            </w:r>
          </w:p>
        </w:tc>
        <w:tc>
          <w:tcPr>
            <w:tcW w:w="737"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距</w:t>
            </w:r>
            <w:r>
              <w:rPr>
                <w:rFonts w:hint="default" w:ascii="Times New Roman" w:hAnsi="Times New Roman" w:eastAsia="宋体" w:cs="Times New Roman"/>
                <w:b w:val="0"/>
                <w:bCs/>
                <w:kern w:val="0"/>
                <w:sz w:val="21"/>
                <w:szCs w:val="21"/>
                <w:highlight w:val="none"/>
                <w:lang w:eastAsia="zh-CN"/>
              </w:rPr>
              <w:t>道路</w:t>
            </w:r>
            <w:r>
              <w:rPr>
                <w:rFonts w:hint="default" w:ascii="Times New Roman" w:hAnsi="Times New Roman" w:eastAsia="宋体" w:cs="Times New Roman"/>
                <w:b w:val="0"/>
                <w:bCs/>
                <w:kern w:val="0"/>
                <w:sz w:val="21"/>
                <w:szCs w:val="21"/>
                <w:lang w:eastAsia="zh-CN"/>
              </w:rPr>
              <w:t>边界</w:t>
            </w:r>
            <w:r>
              <w:rPr>
                <w:rFonts w:hint="default" w:ascii="Times New Roman" w:hAnsi="Times New Roman" w:eastAsia="宋体" w:cs="Times New Roman"/>
                <w:b w:val="0"/>
                <w:bCs/>
                <w:kern w:val="0"/>
                <w:sz w:val="21"/>
                <w:szCs w:val="21"/>
              </w:rPr>
              <w:t>距离（m）</w:t>
            </w:r>
          </w:p>
        </w:tc>
        <w:tc>
          <w:tcPr>
            <w:tcW w:w="737" w:type="dxa"/>
            <w:vMerge w:val="restart"/>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eastAsia="zh-CN"/>
              </w:rPr>
            </w:pPr>
            <w:r>
              <w:rPr>
                <w:rFonts w:hint="default" w:ascii="Times New Roman" w:hAnsi="Times New Roman" w:eastAsia="宋体" w:cs="Times New Roman"/>
                <w:b w:val="0"/>
                <w:bCs/>
                <w:kern w:val="0"/>
                <w:sz w:val="21"/>
                <w:szCs w:val="21"/>
              </w:rPr>
              <w:t>预测</w:t>
            </w:r>
            <w:r>
              <w:rPr>
                <w:rFonts w:hint="default" w:ascii="Times New Roman" w:hAnsi="Times New Roman" w:eastAsia="宋体" w:cs="Times New Roman"/>
                <w:b w:val="0"/>
                <w:bCs/>
                <w:kern w:val="0"/>
                <w:sz w:val="21"/>
                <w:szCs w:val="21"/>
                <w:lang w:eastAsia="zh-CN"/>
              </w:rPr>
              <w:t>楼层</w:t>
            </w:r>
          </w:p>
        </w:tc>
        <w:tc>
          <w:tcPr>
            <w:tcW w:w="737"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远期</w:t>
            </w:r>
            <w:r>
              <w:rPr>
                <w:rFonts w:hint="default" w:ascii="Times New Roman" w:hAnsi="Times New Roman" w:eastAsia="宋体" w:cs="Times New Roman"/>
                <w:b w:val="0"/>
                <w:bCs/>
                <w:sz w:val="21"/>
                <w:szCs w:val="21"/>
              </w:rPr>
              <w:t>贡献值</w:t>
            </w:r>
            <w:r>
              <w:rPr>
                <w:rFonts w:hint="default" w:ascii="Times New Roman" w:hAnsi="Times New Roman" w:eastAsia="宋体" w:cs="Times New Roman"/>
                <w:b w:val="0"/>
                <w:bCs/>
                <w:kern w:val="0"/>
                <w:sz w:val="21"/>
                <w:szCs w:val="21"/>
              </w:rPr>
              <w:t>dB（A）</w:t>
            </w:r>
          </w:p>
        </w:tc>
        <w:tc>
          <w:tcPr>
            <w:tcW w:w="737"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lang w:eastAsia="zh-CN"/>
              </w:rPr>
              <w:t>现状值</w:t>
            </w:r>
            <w:r>
              <w:rPr>
                <w:rFonts w:hint="default" w:ascii="Times New Roman" w:hAnsi="Times New Roman" w:eastAsia="宋体" w:cs="Times New Roman"/>
                <w:b w:val="0"/>
                <w:bCs/>
                <w:kern w:val="0"/>
                <w:sz w:val="21"/>
                <w:szCs w:val="21"/>
              </w:rPr>
              <w:t>dB（A）</w:t>
            </w:r>
          </w:p>
        </w:tc>
        <w:tc>
          <w:tcPr>
            <w:tcW w:w="737"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sz w:val="21"/>
                <w:szCs w:val="21"/>
                <w:lang w:val="en-US" w:eastAsia="zh-CN"/>
              </w:rPr>
              <w:t>远期</w:t>
            </w:r>
            <w:r>
              <w:rPr>
                <w:rFonts w:hint="default" w:ascii="Times New Roman" w:hAnsi="Times New Roman" w:eastAsia="宋体" w:cs="Times New Roman"/>
                <w:b w:val="0"/>
                <w:bCs/>
                <w:kern w:val="0"/>
                <w:sz w:val="21"/>
                <w:szCs w:val="21"/>
              </w:rPr>
              <w:t>预测值dB（A）</w:t>
            </w:r>
          </w:p>
        </w:tc>
        <w:tc>
          <w:tcPr>
            <w:tcW w:w="737"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标准值dB（A）</w:t>
            </w:r>
          </w:p>
        </w:tc>
        <w:tc>
          <w:tcPr>
            <w:tcW w:w="737" w:type="dxa"/>
            <w:gridSpan w:val="2"/>
            <w:tcBorders>
              <w:tl2br w:val="nil"/>
              <w:tr2bl w:val="nil"/>
            </w:tcBorders>
            <w:noWrap w:val="0"/>
            <w:vAlign w:val="center"/>
          </w:tcPr>
          <w:p>
            <w:pPr>
              <w:widowControl/>
              <w:spacing w:line="240" w:lineRule="auto"/>
              <w:ind w:left="-120" w:leftChars="-50" w:right="-120" w:rightChars="-5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远</w:t>
            </w:r>
            <w:r>
              <w:rPr>
                <w:rFonts w:hint="default" w:ascii="Times New Roman" w:hAnsi="Times New Roman" w:cs="Times New Roman"/>
                <w:color w:val="auto"/>
                <w:kern w:val="0"/>
                <w:sz w:val="21"/>
                <w:szCs w:val="21"/>
              </w:rPr>
              <w:t>期较现</w:t>
            </w:r>
          </w:p>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cs="Times New Roman"/>
                <w:color w:val="auto"/>
                <w:kern w:val="0"/>
                <w:sz w:val="21"/>
                <w:szCs w:val="21"/>
              </w:rPr>
              <w:t>状增加</w:t>
            </w:r>
          </w:p>
        </w:tc>
        <w:tc>
          <w:tcPr>
            <w:tcW w:w="737" w:type="dxa"/>
            <w:gridSpan w:val="2"/>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cs="Times New Roman"/>
                <w:color w:val="auto"/>
                <w:kern w:val="0"/>
                <w:sz w:val="21"/>
                <w:szCs w:val="21"/>
                <w:lang w:eastAsia="zh-CN"/>
              </w:rPr>
              <w:t>远</w:t>
            </w:r>
            <w:r>
              <w:rPr>
                <w:rFonts w:hint="default" w:ascii="Times New Roman" w:hAnsi="Times New Roman" w:cs="Times New Roman"/>
                <w:color w:val="auto"/>
                <w:kern w:val="0"/>
                <w:sz w:val="21"/>
                <w:szCs w:val="21"/>
              </w:rPr>
              <w:t>期超标情况</w:t>
            </w:r>
          </w:p>
        </w:tc>
        <w:tc>
          <w:tcPr>
            <w:tcW w:w="1113" w:type="dxa"/>
            <w:vMerge w:val="restart"/>
            <w:tcBorders>
              <w:tl2br w:val="nil"/>
              <w:tr2bl w:val="nil"/>
            </w:tcBorders>
            <w:noWrap w:val="0"/>
            <w:vAlign w:val="center"/>
          </w:tcPr>
          <w:p>
            <w:pPr>
              <w:widowControl/>
              <w:spacing w:line="240" w:lineRule="auto"/>
              <w:ind w:left="-120" w:leftChars="-50" w:right="-120" w:rightChars="-5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声屏障</w:t>
            </w:r>
          </w:p>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cs="Times New Roman"/>
                <w:color w:val="auto"/>
                <w:kern w:val="0"/>
                <w:sz w:val="21"/>
                <w:szCs w:val="21"/>
              </w:rPr>
              <w:t>降噪措施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45"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p>
        </w:tc>
        <w:tc>
          <w:tcPr>
            <w:tcW w:w="737"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p>
        </w:tc>
        <w:tc>
          <w:tcPr>
            <w:tcW w:w="737"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昼间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夜间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rPr>
              <w:t>昼间</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rPr>
              <w:t>夜间</w:t>
            </w:r>
          </w:p>
        </w:tc>
        <w:tc>
          <w:tcPr>
            <w:tcW w:w="1113" w:type="dxa"/>
            <w:vMerge w:val="continue"/>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4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737"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56.43</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47.17</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40</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58.06</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47.93</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5.06</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7.93</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4m高声屏障，长103m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04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737"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eastAsia="zh-CN"/>
              </w:rPr>
            </w:pPr>
            <w:r>
              <w:rPr>
                <w:rFonts w:hint="default" w:ascii="Times New Roman" w:hAnsi="Times New Roman" w:eastAsia="宋体" w:cs="Times New Roman"/>
                <w:b w:val="0"/>
                <w:bCs/>
                <w:kern w:val="0"/>
                <w:sz w:val="21"/>
                <w:szCs w:val="21"/>
                <w:lang w:val="en-US" w:eastAsia="zh-CN"/>
              </w:rPr>
              <w:t>3F</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59.55</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50.29</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55</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41</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60.86</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50.77</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rPr>
            </w:pPr>
            <w:r>
              <w:rPr>
                <w:rFonts w:hint="default" w:ascii="Times New Roman" w:hAnsi="Times New Roman" w:eastAsia="宋体" w:cs="Times New Roman"/>
                <w:b w:val="0"/>
                <w:bCs/>
                <w:kern w:val="0"/>
                <w:sz w:val="21"/>
                <w:szCs w:val="21"/>
                <w:lang w:val="en-US" w:eastAsia="zh-CN"/>
              </w:rPr>
              <w:t>70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rPr>
            </w:pPr>
            <w:r>
              <w:rPr>
                <w:rFonts w:hint="default" w:ascii="Times New Roman" w:hAnsi="Times New Roman" w:cs="Times New Roman"/>
                <w:b w:val="0"/>
                <w:bCs/>
                <w:kern w:val="0"/>
                <w:sz w:val="21"/>
                <w:szCs w:val="21"/>
                <w:lang w:val="en-US" w:eastAsia="zh-CN"/>
              </w:rPr>
              <w:t>55</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5.86</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9.77</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104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737"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eastAsia="zh-CN"/>
              </w:rPr>
            </w:pPr>
            <w:r>
              <w:rPr>
                <w:rFonts w:hint="default" w:ascii="Times New Roman" w:hAnsi="Times New Roman" w:cs="Times New Roman"/>
                <w:b w:val="0"/>
                <w:bCs/>
                <w:kern w:val="0"/>
                <w:sz w:val="21"/>
                <w:szCs w:val="21"/>
                <w:lang w:val="en-US" w:eastAsia="zh-CN"/>
              </w:rPr>
              <w:t>5</w:t>
            </w:r>
            <w:r>
              <w:rPr>
                <w:rFonts w:hint="default" w:ascii="Times New Roman" w:hAnsi="Times New Roman" w:eastAsia="宋体" w:cs="Times New Roman"/>
                <w:b w:val="0"/>
                <w:bCs/>
                <w:kern w:val="0"/>
                <w:sz w:val="21"/>
                <w:szCs w:val="21"/>
                <w:lang w:val="en-US" w:eastAsia="zh-CN"/>
              </w:rPr>
              <w:t>F</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59.34</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50.08</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58</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61.73</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50.4</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lang w:val="en-US" w:eastAsia="zh-CN"/>
              </w:rPr>
              <w:t>70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rPr>
            </w:pPr>
            <w:r>
              <w:rPr>
                <w:rFonts w:hint="default" w:ascii="Times New Roman" w:hAnsi="Times New Roman" w:cs="Times New Roman"/>
                <w:b w:val="0"/>
                <w:bCs/>
                <w:kern w:val="0"/>
                <w:sz w:val="21"/>
                <w:szCs w:val="21"/>
                <w:lang w:val="en-US" w:eastAsia="zh-CN"/>
              </w:rPr>
              <w:t>55</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3.73</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104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737"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55.74</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46.48</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57</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59.43</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49.26</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3.26</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4m高声屏障，长30m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104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cs="Times New Roman"/>
                <w:b w:val="0"/>
                <w:bCs/>
                <w:i w:val="0"/>
                <w:iCs w:val="0"/>
                <w:color w:val="000000"/>
                <w:kern w:val="0"/>
                <w:sz w:val="21"/>
                <w:szCs w:val="21"/>
                <w:u w:val="none"/>
                <w:lang w:val="en-US" w:eastAsia="zh-CN" w:bidi="ar"/>
              </w:rPr>
              <w:t>临巴</w:t>
            </w:r>
            <w:r>
              <w:rPr>
                <w:rFonts w:hint="default" w:ascii="Times New Roman" w:hAnsi="Times New Roman" w:eastAsia="宋体" w:cs="Times New Roman"/>
                <w:b w:val="0"/>
                <w:bCs/>
                <w:i w:val="0"/>
                <w:iCs w:val="0"/>
                <w:color w:val="000000"/>
                <w:kern w:val="0"/>
                <w:sz w:val="21"/>
                <w:szCs w:val="21"/>
                <w:u w:val="none"/>
                <w:lang w:val="en-US" w:eastAsia="zh-CN" w:bidi="ar"/>
              </w:rPr>
              <w:t>镇居民</w:t>
            </w:r>
          </w:p>
        </w:tc>
        <w:tc>
          <w:tcPr>
            <w:tcW w:w="737" w:type="dxa"/>
            <w:tcBorders>
              <w:tl2br w:val="nil"/>
              <w:tr2bl w:val="nil"/>
            </w:tcBorders>
            <w:noWrap w:val="0"/>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3F</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58.61</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49.35</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57</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60.89</w:t>
            </w:r>
          </w:p>
        </w:tc>
        <w:tc>
          <w:tcPr>
            <w:tcW w:w="737" w:type="dxa"/>
            <w:tcBorders>
              <w:tl2br w:val="nil"/>
              <w:tr2bl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737" w:type="dxa"/>
            <w:tcBorders>
              <w:tl2br w:val="nil"/>
              <w:tr2bl w:val="nil"/>
            </w:tcBorders>
            <w:noWrap w:val="0"/>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3.89</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散户</w:t>
            </w:r>
          </w:p>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40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56.48</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47.22</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58.09</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47.83</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6</w:t>
            </w:r>
            <w:r>
              <w:rPr>
                <w:rFonts w:hint="default" w:ascii="Times New Roman" w:hAnsi="Times New Roman" w:eastAsia="宋体" w:cs="Times New Roman"/>
                <w:b w:val="0"/>
                <w:bCs/>
                <w:kern w:val="0"/>
                <w:sz w:val="21"/>
                <w:szCs w:val="21"/>
                <w:lang w:val="en-US" w:eastAsia="zh-CN"/>
              </w:rPr>
              <w:t>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w:t>
            </w:r>
            <w:r>
              <w:rPr>
                <w:rFonts w:hint="default" w:ascii="Times New Roman" w:hAnsi="Times New Roman" w:eastAsia="宋体" w:cs="Times New Roman"/>
                <w:b w:val="0"/>
                <w:bCs/>
                <w:kern w:val="0"/>
                <w:sz w:val="21"/>
                <w:szCs w:val="21"/>
                <w:lang w:val="en-US" w:eastAsia="zh-CN"/>
              </w:rPr>
              <w:t>0</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5.09</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8.83</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i w:val="0"/>
                <w:iCs w:val="0"/>
                <w:color w:val="000000"/>
                <w:kern w:val="0"/>
                <w:sz w:val="21"/>
                <w:szCs w:val="21"/>
                <w:u w:val="none"/>
                <w:lang w:val="en-US" w:eastAsia="zh-CN" w:bidi="ar"/>
              </w:rPr>
              <w:t>党群服务中心</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2</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64.34</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55.08</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50</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42</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64.5</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55.29</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13.29</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4m高声屏障，长20m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i w:val="0"/>
                <w:iCs w:val="0"/>
                <w:color w:val="000000"/>
                <w:kern w:val="0"/>
                <w:sz w:val="21"/>
                <w:szCs w:val="21"/>
                <w:u w:val="none"/>
                <w:lang w:val="en-US" w:eastAsia="zh-CN" w:bidi="ar"/>
              </w:rPr>
              <w:t>四合村居民</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67.61</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58.35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45</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67.69</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58.45</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14.69</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13.45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4m高声屏障，长60m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i w:val="0"/>
                <w:iCs w:val="0"/>
                <w:color w:val="000000"/>
                <w:kern w:val="0"/>
                <w:sz w:val="21"/>
                <w:szCs w:val="21"/>
                <w:u w:val="none"/>
                <w:lang w:val="en-US" w:eastAsia="zh-CN" w:bidi="ar"/>
              </w:rPr>
              <w:t>溪口村居民</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110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50.97</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56</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41</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57.19</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44.38</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3.38</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溪口村居民</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90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54.24</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44.98</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51</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55.93</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48.53</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4.93</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溪口村居民</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52.92</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43.66</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44</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43</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53.45</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46.35</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溪口村</w:t>
            </w:r>
          </w:p>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i w:val="0"/>
                <w:iCs w:val="0"/>
                <w:color w:val="000000"/>
                <w:kern w:val="0"/>
                <w:sz w:val="21"/>
                <w:szCs w:val="21"/>
                <w:u w:val="none"/>
                <w:lang w:val="en-US" w:eastAsia="zh-CN" w:bidi="ar"/>
              </w:rPr>
              <w:t>居</w:t>
            </w:r>
            <w:r>
              <w:rPr>
                <w:rFonts w:hint="default" w:ascii="Times New Roman" w:hAnsi="Times New Roman" w:cs="Times New Roman"/>
                <w:b w:val="0"/>
                <w:bCs/>
                <w:i w:val="0"/>
                <w:iCs w:val="0"/>
                <w:color w:val="000000"/>
                <w:kern w:val="0"/>
                <w:sz w:val="21"/>
                <w:szCs w:val="21"/>
                <w:u w:val="none"/>
                <w:lang w:val="en-US" w:eastAsia="zh-CN" w:bidi="ar"/>
              </w:rPr>
              <w:t>民</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50.14</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40.88</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46</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50.64</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43.05</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4.64</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i w:val="0"/>
                <w:iCs w:val="0"/>
                <w:color w:val="000000"/>
                <w:kern w:val="0"/>
                <w:sz w:val="21"/>
                <w:szCs w:val="21"/>
                <w:u w:val="none"/>
                <w:lang w:val="en-US" w:eastAsia="zh-CN" w:bidi="ar"/>
              </w:rPr>
              <w:t>福善村</w:t>
            </w: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52.47</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43.2</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41</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39</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53.35</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44.6</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12.35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i w:val="0"/>
                <w:iCs w:val="0"/>
                <w:color w:val="000000"/>
                <w:kern w:val="0"/>
                <w:sz w:val="21"/>
                <w:szCs w:val="21"/>
                <w:u w:val="none"/>
                <w:lang w:val="en-US" w:eastAsia="zh-CN" w:bidi="ar"/>
              </w:rPr>
              <w:t>福善村</w:t>
            </w: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57.95</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48.69</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51</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40</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58.75</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49.24</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70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cs="Times New Roman"/>
                <w:b w:val="0"/>
                <w:bCs/>
                <w:kern w:val="0"/>
                <w:sz w:val="21"/>
                <w:szCs w:val="21"/>
                <w:lang w:val="en-US" w:eastAsia="zh-CN"/>
              </w:rPr>
              <w:t>55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7.75</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9.24</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4m高声屏障，长20m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4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i w:val="0"/>
                <w:iCs w:val="0"/>
                <w:color w:val="000000"/>
                <w:kern w:val="0"/>
                <w:sz w:val="21"/>
                <w:szCs w:val="21"/>
                <w:u w:val="none"/>
                <w:lang w:val="en-US" w:eastAsia="zh-CN" w:bidi="ar"/>
              </w:rPr>
              <w:t>福善村</w:t>
            </w:r>
            <w:r>
              <w:rPr>
                <w:rFonts w:hint="default" w:ascii="Times New Roman" w:hAnsi="Times New Roman" w:eastAsia="宋体" w:cs="Times New Roman"/>
                <w:b w:val="0"/>
                <w:bCs/>
                <w:i w:val="0"/>
                <w:iCs w:val="0"/>
                <w:color w:val="000000"/>
                <w:kern w:val="0"/>
                <w:sz w:val="21"/>
                <w:szCs w:val="21"/>
                <w:u w:val="none"/>
                <w:lang w:val="en-US" w:eastAsia="zh-CN" w:bidi="ar"/>
              </w:rPr>
              <w:t>居民</w:t>
            </w:r>
          </w:p>
        </w:tc>
        <w:tc>
          <w:tcPr>
            <w:tcW w:w="737" w:type="dxa"/>
            <w:vAlign w:val="center"/>
          </w:tcPr>
          <w:p>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1F</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52.73</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43.47</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53</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40</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55.88</w:t>
            </w:r>
          </w:p>
        </w:tc>
        <w:tc>
          <w:tcPr>
            <w:tcW w:w="737" w:type="dxa"/>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45.08</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60</w:t>
            </w:r>
          </w:p>
        </w:tc>
        <w:tc>
          <w:tcPr>
            <w:tcW w:w="737" w:type="dxa"/>
            <w:vAlign w:val="center"/>
          </w:tcPr>
          <w:p>
            <w:pPr>
              <w:autoSpaceDE w:val="0"/>
              <w:autoSpaceDN w:val="0"/>
              <w:ind w:left="-120" w:leftChars="-50" w:right="-120" w:rightChars="-5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50</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2.88</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5.08</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737"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1113" w:type="dxa"/>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w:t>
            </w:r>
          </w:p>
        </w:tc>
      </w:tr>
    </w:tbl>
    <w:p>
      <w:pPr>
        <w:rPr>
          <w:rFonts w:hint="default" w:ascii="Times New Roman" w:hAnsi="Times New Roman" w:cs="Times New Roman"/>
        </w:rPr>
        <w:sectPr>
          <w:pgSz w:w="16849" w:h="11911" w:orient="landscape"/>
          <w:pgMar w:top="879" w:right="822" w:bottom="317" w:left="1417" w:header="590" w:footer="1230" w:gutter="0"/>
          <w:pgNumType w:fmt="decimal"/>
          <w:cols w:space="0" w:num="1"/>
          <w:rtlGutter w:val="0"/>
          <w:docGrid w:linePitch="0" w:charSpace="0"/>
        </w:sect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以上噪声污染防治措施为环评报告依据现阶段的路线方案</w:t>
      </w:r>
      <w:r>
        <w:rPr>
          <w:rFonts w:hint="eastAsia" w:ascii="Times New Roman" w:hAnsi="Times New Roman" w:cs="Times New Roman"/>
          <w:lang w:eastAsia="zh-CN"/>
        </w:rPr>
        <w:t>、</w:t>
      </w:r>
      <w:r>
        <w:rPr>
          <w:rFonts w:hint="default" w:ascii="Times New Roman" w:hAnsi="Times New Roman" w:cs="Times New Roman"/>
          <w:lang w:eastAsia="zh-CN"/>
        </w:rPr>
        <w:t>工程形式</w:t>
      </w:r>
      <w:r>
        <w:rPr>
          <w:rFonts w:hint="eastAsia" w:ascii="Times New Roman" w:hAnsi="Times New Roman" w:cs="Times New Roman"/>
          <w:lang w:eastAsia="zh-CN"/>
        </w:rPr>
        <w:t>、</w:t>
      </w:r>
      <w:r>
        <w:rPr>
          <w:rFonts w:hint="default" w:ascii="Times New Roman" w:hAnsi="Times New Roman" w:cs="Times New Roman"/>
          <w:lang w:eastAsia="zh-CN"/>
        </w:rPr>
        <w:t>敏感点外环境情况依据噪声预测结果而制定的方案。后续项目实施过程中，因项目路线</w:t>
      </w:r>
      <w:r>
        <w:rPr>
          <w:rFonts w:hint="eastAsia" w:ascii="Times New Roman" w:hAnsi="Times New Roman" w:cs="Times New Roman"/>
          <w:lang w:eastAsia="zh-CN"/>
        </w:rPr>
        <w:t>、</w:t>
      </w:r>
      <w:r>
        <w:rPr>
          <w:rFonts w:hint="default" w:ascii="Times New Roman" w:hAnsi="Times New Roman" w:cs="Times New Roman"/>
          <w:lang w:eastAsia="zh-CN"/>
        </w:rPr>
        <w:t>工程形式</w:t>
      </w:r>
      <w:r>
        <w:rPr>
          <w:rFonts w:hint="eastAsia" w:ascii="Times New Roman" w:hAnsi="Times New Roman" w:cs="Times New Roman"/>
          <w:lang w:eastAsia="zh-CN"/>
        </w:rPr>
        <w:t>、</w:t>
      </w:r>
      <w:r>
        <w:rPr>
          <w:rFonts w:hint="default" w:ascii="Times New Roman" w:hAnsi="Times New Roman" w:cs="Times New Roman"/>
          <w:lang w:eastAsia="zh-CN"/>
        </w:rPr>
        <w:t>敏感点外环境关系及与道路位置关系发生变化的情况下，建设单位应根据实际情况 ，委托有专业资质的设计单位进行噪声预测和噪声污染防治方案制定，以尽量减小项目对敏感点影响。</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此外，考虑噪声预测结果与实际公路营运期噪声影响情况可能会存在一定的误差，为尽可能减少项目营运期对沿线声环境敏感点的影响，环评要求，营运期须对全线声环境敏感点进行跟踪监测，一旦出现因本项目交通噪声引起敏感点声环境质量超标，应采取相应的噪声治理措施降低对声环境敏感点的影响。跟踪监测及后期敏感点噪声治理措施费用，纳入环保设施管理维护费用中。</w:t>
      </w:r>
    </w:p>
    <w:p>
      <w:pPr>
        <w:pStyle w:val="4"/>
        <w:bidi w:val="0"/>
        <w:rPr>
          <w:rFonts w:hint="default"/>
          <w:lang w:val="en-US" w:eastAsia="zh-CN"/>
        </w:rPr>
      </w:pPr>
      <w:bookmarkStart w:id="132" w:name="_Toc21758"/>
      <w:r>
        <w:rPr>
          <w:rFonts w:hint="default"/>
          <w:lang w:val="en-US" w:eastAsia="zh-CN"/>
        </w:rPr>
        <w:t>5.5.固体废物影响控制措施</w:t>
      </w:r>
      <w:bookmarkEnd w:id="132"/>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5.5.1.施工期固体废物影响控制措施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val="zh-CN" w:eastAsia="zh-CN"/>
        </w:rPr>
        <w:tab/>
      </w:r>
      <w:r>
        <w:rPr>
          <w:rFonts w:hint="default" w:ascii="Times New Roman" w:hAnsi="Times New Roman" w:cs="Times New Roman"/>
          <w:lang w:eastAsia="zh-CN"/>
        </w:rPr>
        <w:t>本项目施工期固废主要包括土石方</w:t>
      </w:r>
      <w:r>
        <w:rPr>
          <w:rFonts w:hint="eastAsia" w:ascii="Times New Roman" w:hAnsi="Times New Roman" w:cs="Times New Roman"/>
          <w:lang w:eastAsia="zh-CN"/>
        </w:rPr>
        <w:t>、</w:t>
      </w:r>
      <w:r>
        <w:rPr>
          <w:rFonts w:hint="default" w:ascii="Times New Roman" w:hAnsi="Times New Roman" w:cs="Times New Roman"/>
          <w:lang w:eastAsia="zh-CN"/>
        </w:rPr>
        <w:t>建筑垃圾</w:t>
      </w:r>
      <w:r>
        <w:rPr>
          <w:rFonts w:hint="eastAsia" w:ascii="Times New Roman" w:hAnsi="Times New Roman" w:cs="Times New Roman"/>
          <w:lang w:eastAsia="zh-CN"/>
        </w:rPr>
        <w:t>、</w:t>
      </w:r>
      <w:r>
        <w:rPr>
          <w:rFonts w:hint="default" w:ascii="Times New Roman" w:hAnsi="Times New Roman" w:cs="Times New Roman"/>
          <w:lang w:eastAsia="zh-CN"/>
        </w:rPr>
        <w:t>施工人员生活垃圾。</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（1）废弃土石方：</w:t>
      </w:r>
      <w:r>
        <w:rPr>
          <w:rFonts w:hint="default" w:ascii="Times New Roman" w:hAnsi="Times New Roman" w:cs="Times New Roman"/>
          <w:lang w:val="en-US" w:eastAsia="zh-CN"/>
        </w:rPr>
        <w:t>废弃土石方</w:t>
      </w:r>
      <w:r>
        <w:rPr>
          <w:rFonts w:hint="eastAsia" w:ascii="Times New Roman" w:hAnsi="Times New Roman" w:cs="Times New Roman"/>
          <w:lang w:val="en-US" w:eastAsia="zh-CN"/>
        </w:rPr>
        <w:t>、</w:t>
      </w:r>
      <w:r>
        <w:rPr>
          <w:rFonts w:hint="default" w:ascii="Times New Roman" w:hAnsi="Times New Roman" w:cs="Times New Roman"/>
          <w:lang w:val="en-US" w:eastAsia="zh-CN"/>
        </w:rPr>
        <w:t>钻渣等运至指定弃渣场，并做好防护与绿化措施，严禁随意弃至沿线农田</w:t>
      </w:r>
      <w:r>
        <w:rPr>
          <w:rFonts w:hint="eastAsia" w:ascii="Times New Roman" w:hAnsi="Times New Roman" w:cs="Times New Roman"/>
          <w:lang w:val="en-US" w:eastAsia="zh-CN"/>
        </w:rPr>
        <w:t>、</w:t>
      </w:r>
      <w:r>
        <w:rPr>
          <w:rFonts w:hint="default" w:ascii="Times New Roman" w:hAnsi="Times New Roman" w:cs="Times New Roman"/>
          <w:lang w:val="en-US" w:eastAsia="zh-CN"/>
        </w:rPr>
        <w:t>林地或河道</w:t>
      </w:r>
      <w:r>
        <w:rPr>
          <w:rFonts w:hint="default" w:ascii="Times New Roman" w:hAnsi="Times New Roman" w:cs="Times New Roman"/>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（2）建筑垃圾：加强建筑垃圾管理；要尽量回收和利用其中的有用部分；对产生的建筑垃圾</w:t>
      </w:r>
      <w:r>
        <w:rPr>
          <w:rFonts w:hint="default" w:ascii="Times New Roman" w:hAnsi="Times New Roman" w:cs="Times New Roman"/>
          <w:lang w:val="en-US" w:eastAsia="zh-CN"/>
        </w:rPr>
        <w:t>进行分类</w:t>
      </w:r>
      <w:r>
        <w:rPr>
          <w:rFonts w:hint="default" w:ascii="Times New Roman" w:hAnsi="Times New Roman" w:cs="Times New Roman"/>
          <w:lang w:eastAsia="zh-CN"/>
        </w:rPr>
        <w:t>，</w:t>
      </w:r>
      <w:r>
        <w:rPr>
          <w:rFonts w:hint="default" w:ascii="Times New Roman" w:hAnsi="Times New Roman" w:cs="Times New Roman"/>
          <w:lang w:val="en-US" w:eastAsia="zh-CN"/>
        </w:rPr>
        <w:t>对钢筋</w:t>
      </w:r>
      <w:r>
        <w:rPr>
          <w:rFonts w:hint="eastAsia" w:ascii="Times New Roman" w:hAnsi="Times New Roman" w:cs="Times New Roman"/>
          <w:lang w:val="en-US" w:eastAsia="zh-CN"/>
        </w:rPr>
        <w:t>、</w:t>
      </w:r>
      <w:r>
        <w:rPr>
          <w:rFonts w:hint="default" w:ascii="Times New Roman" w:hAnsi="Times New Roman" w:cs="Times New Roman"/>
          <w:lang w:val="en-US" w:eastAsia="zh-CN"/>
        </w:rPr>
        <w:t>钢板等下脚料交废物收购站处理；混凝土块</w:t>
      </w:r>
      <w:r>
        <w:rPr>
          <w:rFonts w:hint="eastAsia" w:ascii="Times New Roman" w:hAnsi="Times New Roman" w:cs="Times New Roman"/>
          <w:lang w:val="en-US" w:eastAsia="zh-CN"/>
        </w:rPr>
        <w:t>、</w:t>
      </w:r>
      <w:r>
        <w:rPr>
          <w:rFonts w:hint="default" w:ascii="Times New Roman" w:hAnsi="Times New Roman" w:cs="Times New Roman"/>
          <w:lang w:val="en-US" w:eastAsia="zh-CN"/>
        </w:rPr>
        <w:t>路面废旧料等交再生资源厂处理；</w:t>
      </w:r>
      <w:r>
        <w:rPr>
          <w:rFonts w:hint="default" w:ascii="Times New Roman" w:hAnsi="Times New Roman" w:cs="Times New Roman"/>
          <w:lang w:eastAsia="zh-CN"/>
        </w:rPr>
        <w:t>剩余建筑垃圾要及时清运</w:t>
      </w:r>
      <w:r>
        <w:rPr>
          <w:rFonts w:hint="default" w:ascii="Times New Roman" w:hAnsi="Times New Roman" w:cs="Times New Roman"/>
          <w:lang w:val="en-US" w:eastAsia="zh-CN"/>
        </w:rPr>
        <w:t>至弃渣场填埋处理，做好防护与绿化措施，严禁随意弃至沿线农田</w:t>
      </w:r>
      <w:r>
        <w:rPr>
          <w:rFonts w:hint="eastAsia" w:ascii="Times New Roman" w:hAnsi="Times New Roman" w:cs="Times New Roman"/>
          <w:lang w:val="en-US" w:eastAsia="zh-CN"/>
        </w:rPr>
        <w:t>、</w:t>
      </w:r>
      <w:r>
        <w:rPr>
          <w:rFonts w:hint="default" w:ascii="Times New Roman" w:hAnsi="Times New Roman" w:cs="Times New Roman"/>
          <w:lang w:val="en-US" w:eastAsia="zh-CN"/>
        </w:rPr>
        <w:t>林地或河道</w:t>
      </w:r>
      <w:r>
        <w:rPr>
          <w:rFonts w:hint="default" w:ascii="Times New Roman" w:hAnsi="Times New Roman" w:cs="Times New Roman"/>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（3）施工人员生活垃圾：在施工场地设置生活垃圾集中收集点，经集中收集后由当地环卫部门统一处置。</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采取上述措施后，本项目施工期产生的固体废物均得到了合理处置，不会对环境造成二次污染。</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5.5.2.运营期固体废物影响控制措施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cs="Times New Roman"/>
          <w:lang w:val="zh-CN" w:eastAsia="zh-CN"/>
        </w:rPr>
      </w:pPr>
      <w:r>
        <w:rPr>
          <w:rFonts w:hint="default" w:ascii="Times New Roman" w:hAnsi="Times New Roman" w:cs="Times New Roman"/>
          <w:lang w:val="zh-CN" w:eastAsia="zh-CN"/>
        </w:rPr>
        <w:t>本项目运营期产生固废主要为道路车辆及行人通行过程中沿途洒落的生活垃圾，通过按主体设计要求设置垃圾桶收集</w:t>
      </w:r>
      <w:r>
        <w:rPr>
          <w:rFonts w:hint="eastAsia" w:ascii="Times New Roman" w:hAnsi="Times New Roman" w:cs="Times New Roman"/>
          <w:lang w:val="zh-CN" w:eastAsia="zh-CN"/>
        </w:rPr>
        <w:t>、</w:t>
      </w:r>
      <w:r>
        <w:rPr>
          <w:rFonts w:hint="default" w:ascii="Times New Roman" w:hAnsi="Times New Roman" w:cs="Times New Roman"/>
          <w:lang w:val="zh-CN" w:eastAsia="zh-CN"/>
        </w:rPr>
        <w:t>加强运营期环卫清扫工作，生活垃圾收集后由当地环卫部门清运处置，不会造成二次污染对当地环境产生不利影响。</w:t>
      </w:r>
    </w:p>
    <w:p>
      <w:pPr>
        <w:pStyle w:val="4"/>
        <w:bidi w:val="0"/>
        <w:rPr>
          <w:rFonts w:hint="default"/>
          <w:lang w:val="en-US" w:eastAsia="zh-CN"/>
        </w:rPr>
      </w:pPr>
      <w:bookmarkStart w:id="133" w:name="_Toc11684"/>
      <w:r>
        <w:rPr>
          <w:rFonts w:hint="default"/>
          <w:lang w:val="en-US" w:eastAsia="zh-CN"/>
        </w:rPr>
        <w:t>5.6.环境风险事故的防范措施及应急计划</w:t>
      </w:r>
      <w:bookmarkEnd w:id="133"/>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5.6.1.施工期环境风险事故的防范措施</w:t>
      </w:r>
    </w:p>
    <w:p>
      <w:pPr>
        <w:spacing w:line="360" w:lineRule="auto"/>
        <w:ind w:firstLine="480" w:firstLineChars="200"/>
        <w:jc w:val="left"/>
        <w:rPr>
          <w:rFonts w:hint="default" w:ascii="Times New Roman" w:hAnsi="Times New Roman" w:cs="Times New Roman"/>
          <w:b w:val="0"/>
          <w:bCs/>
          <w:szCs w:val="21"/>
          <w:highlight w:val="none"/>
          <w:lang w:val="en-US" w:eastAsia="zh-CN"/>
        </w:rPr>
      </w:pPr>
      <w:r>
        <w:rPr>
          <w:rFonts w:hint="default" w:ascii="Times New Roman" w:hAnsi="Times New Roman" w:eastAsia="宋体" w:cs="Times New Roman"/>
          <w:sz w:val="24"/>
          <w:szCs w:val="24"/>
          <w:lang w:val="en-US" w:eastAsia="zh-CN" w:bidi="zh-CN"/>
        </w:rPr>
        <w:t>本项目施工期未设置油罐区，不使用炸药，环境风险事故发生概率小</w:t>
      </w:r>
      <w:r>
        <w:rPr>
          <w:rFonts w:hint="default" w:ascii="Times New Roman" w:hAnsi="Times New Roman" w:cs="Times New Roman"/>
          <w:b w:val="0"/>
          <w:bCs/>
          <w:szCs w:val="21"/>
          <w:highlight w:val="none"/>
          <w:lang w:val="en-US" w:eastAsia="zh-CN"/>
        </w:rPr>
        <w:t>。</w:t>
      </w:r>
    </w:p>
    <w:p>
      <w:pPr>
        <w:pStyle w:val="4"/>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rPr>
          <w:rFonts w:hint="default" w:ascii="Times New Roman" w:hAnsi="Times New Roman" w:eastAsia="黑体" w:cs="Times New Roman"/>
          <w:sz w:val="24"/>
          <w:szCs w:val="24"/>
          <w:lang w:val="en-US" w:eastAsia="zh-CN"/>
        </w:rPr>
      </w:pPr>
      <w:bookmarkStart w:id="134" w:name="_Toc29454"/>
      <w:r>
        <w:rPr>
          <w:rFonts w:hint="default" w:ascii="Times New Roman" w:hAnsi="Times New Roman" w:cs="Times New Roman"/>
          <w:sz w:val="24"/>
          <w:szCs w:val="24"/>
          <w:lang w:val="en-US" w:eastAsia="zh-CN"/>
        </w:rPr>
        <w:t>5.6.2.运营期环境风险事故的防范措施及应急计划</w:t>
      </w:r>
      <w:bookmarkEnd w:id="134"/>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1）营运期在沿线跨河桥梁两侧应设置连续的加强</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加高型防撞墩。交警部门的资料表明，当防撞墩的高度大于汽车轮胎直径 1/3时，可完全杜绝汽车翻入水中，有效防止液体化学危险品或石油类事故污染对等沿线河流水域水质的影响。</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2）在跨越</w:t>
      </w:r>
      <w:r>
        <w:rPr>
          <w:rFonts w:hint="default" w:ascii="Times New Roman" w:hAnsi="Times New Roman" w:cs="Times New Roman"/>
          <w:b w:val="0"/>
          <w:bCs/>
          <w:sz w:val="24"/>
          <w:szCs w:val="24"/>
          <w:lang w:val="en-US" w:eastAsia="zh-CN"/>
        </w:rPr>
        <w:t>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cs="Times New Roman"/>
          <w:b w:val="0"/>
          <w:bCs/>
          <w:sz w:val="24"/>
          <w:szCs w:val="24"/>
          <w:lang w:val="en-US"/>
        </w:rPr>
        <w:t>路段醒目位置设置限速</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禁止超车等警示标志，提醒过路驾驶员和乘客加强保护环境意识。应禁止漏油</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敞篷运输细颗粒物的货车和超载车上路，以防止公路上车辆漏油和货物洒落在道路上，造成沿线地面水体污染和安全事故隐患。</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3）桥下设置2个防渗事故应急池，并于应急池旁设置防护网和安全标识，风险事故废水通过桥面径流收集系统排入事故应急池。事故应急池容积计算主要考虑以下几个因素</w:t>
      </w:r>
      <w:r>
        <w:rPr>
          <w:rFonts w:hint="default" w:ascii="Times New Roman" w:hAnsi="Times New Roman" w:eastAsia="宋体"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①事故废水量</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目前，国内常见的运输液态危险品的车辆主要是槽罐车和化工液体运输车，其容积一般在2~50m³之间，较常见的多在30m³以下</w:t>
      </w:r>
      <w:r>
        <w:rPr>
          <w:rFonts w:hint="default" w:ascii="Times New Roman" w:hAnsi="Times New Roman" w:eastAsia="宋体" w:cs="Times New Roman"/>
          <w:b w:val="0"/>
          <w:bCs/>
          <w:sz w:val="24"/>
          <w:szCs w:val="24"/>
          <w:lang w:val="en-US" w:eastAsia="zh-CN"/>
        </w:rPr>
        <w:t>；</w:t>
      </w:r>
      <w:r>
        <w:rPr>
          <w:rFonts w:hint="default" w:ascii="Times New Roman" w:hAnsi="Times New Roman" w:cs="Times New Roman"/>
          <w:b w:val="0"/>
          <w:bCs/>
          <w:sz w:val="24"/>
          <w:szCs w:val="24"/>
          <w:lang w:val="en-US"/>
        </w:rPr>
        <w:t>大型消防车容积一般在 10~15m²左右，危险品运输车辆</w:t>
      </w:r>
      <w:r>
        <w:rPr>
          <w:rFonts w:hint="eastAsia" w:ascii="Times New Roman" w:hAnsi="Times New Roman" w:cs="Times New Roman"/>
          <w:b w:val="0"/>
          <w:bCs/>
          <w:sz w:val="24"/>
          <w:szCs w:val="24"/>
          <w:lang w:val="en-US" w:eastAsia="zh-CN"/>
        </w:rPr>
        <w:t>泄漏事故</w:t>
      </w:r>
      <w:r>
        <w:rPr>
          <w:rFonts w:hint="default" w:ascii="Times New Roman" w:hAnsi="Times New Roman" w:cs="Times New Roman"/>
          <w:b w:val="0"/>
          <w:bCs/>
          <w:sz w:val="24"/>
          <w:szCs w:val="24"/>
          <w:lang w:val="en-US"/>
        </w:rPr>
        <w:t>时的事故废水产生量一般以一辆油罐车+一辆消防车冲洗水量进行估算，按 50m</w:t>
      </w:r>
      <w:r>
        <w:rPr>
          <w:rFonts w:hint="default" w:ascii="Times New Roman" w:hAnsi="Times New Roman" w:cs="Times New Roman"/>
          <w:b w:val="0"/>
          <w:bCs/>
          <w:sz w:val="24"/>
          <w:szCs w:val="24"/>
          <w:vertAlign w:val="superscript"/>
          <w:lang w:val="en-US"/>
        </w:rPr>
        <w:t>3</w:t>
      </w:r>
      <w:r>
        <w:rPr>
          <w:rFonts w:hint="default" w:ascii="Times New Roman" w:hAnsi="Times New Roman" w:cs="Times New Roman"/>
          <w:b w:val="0"/>
          <w:bCs/>
          <w:sz w:val="24"/>
          <w:szCs w:val="24"/>
          <w:lang w:val="en-US"/>
        </w:rPr>
        <w:t>左右计。</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b w:val="0"/>
          <w:bCs/>
          <w:sz w:val="24"/>
          <w:szCs w:val="24"/>
          <w:lang w:val="en-US"/>
        </w:rPr>
      </w:pPr>
      <w:r>
        <w:rPr>
          <w:rFonts w:hint="default" w:ascii="Times New Roman" w:hAnsi="Times New Roman" w:cs="Times New Roman"/>
          <w:b w:val="0"/>
          <w:bCs/>
          <w:sz w:val="24"/>
          <w:szCs w:val="24"/>
          <w:lang w:val="en-US"/>
        </w:rPr>
        <w:t>②初期雨水量</w:t>
      </w:r>
      <w:r>
        <w:rPr>
          <w:rFonts w:hint="default" w:ascii="Times New Roman" w:hAnsi="Times New Roman" w:eastAsia="宋体" w:cs="Times New Roman"/>
          <w:b w:val="0"/>
          <w:bCs/>
          <w:sz w:val="24"/>
          <w:szCs w:val="24"/>
          <w:lang w:val="en-US" w:eastAsia="zh-CN"/>
        </w:rPr>
        <w:t>：</w:t>
      </w:r>
      <w:r>
        <w:rPr>
          <w:rFonts w:hint="default" w:ascii="Times New Roman" w:hAnsi="Times New Roman" w:cs="Times New Roman"/>
          <w:b w:val="0"/>
          <w:bCs/>
          <w:sz w:val="24"/>
          <w:szCs w:val="24"/>
          <w:lang w:val="en-US"/>
        </w:rPr>
        <w:t>初期雨水收集量按跨敏感区桥梁桥面汇水面积计算，根据相关研究，路面初期6～8mm左右降雨可控制约60%～80%的污染量，而超过10mm可增加的控制量不明显，因此，只要控制一定量的初期雨水，就可有效控制面源污染物。对于初期降雨，目前还缺乏统一明确定义，综合考虑，选取降雨初期 10mm作为所需要收集的初期雨水。以桥面面积计，</w:t>
      </w:r>
      <w:r>
        <w:rPr>
          <w:rFonts w:hint="default" w:ascii="Times New Roman" w:hAnsi="Times New Roman" w:eastAsia="宋体" w:cs="Times New Roman"/>
          <w:b w:val="0"/>
          <w:bCs/>
          <w:sz w:val="24"/>
          <w:szCs w:val="24"/>
          <w:lang w:val="en-US" w:eastAsia="zh-CN"/>
        </w:rPr>
        <w:t>经计算</w:t>
      </w:r>
      <w:r>
        <w:rPr>
          <w:rFonts w:hint="default" w:ascii="Times New Roman" w:hAnsi="Times New Roman" w:cs="Times New Roman"/>
          <w:b w:val="0"/>
          <w:bCs/>
          <w:sz w:val="24"/>
          <w:szCs w:val="24"/>
          <w:lang w:val="en-US"/>
        </w:rPr>
        <w:t>，</w:t>
      </w:r>
      <w:r>
        <w:rPr>
          <w:rFonts w:hint="default" w:ascii="Times New Roman" w:hAnsi="Times New Roman" w:eastAsia="宋体" w:cs="Times New Roman"/>
          <w:b w:val="0"/>
          <w:bCs/>
          <w:sz w:val="24"/>
          <w:szCs w:val="24"/>
          <w:highlight w:val="none"/>
          <w:vertAlign w:val="baseline"/>
          <w:lang w:val="en-US" w:eastAsia="zh-CN"/>
        </w:rPr>
        <w:t>四合大桥</w:t>
      </w:r>
      <w:r>
        <w:rPr>
          <w:rFonts w:hint="default" w:ascii="Times New Roman" w:hAnsi="Times New Roman" w:cs="Times New Roman"/>
          <w:b w:val="0"/>
          <w:bCs/>
          <w:sz w:val="24"/>
          <w:szCs w:val="24"/>
          <w:lang w:val="en-US"/>
        </w:rPr>
        <w:t>事故废水及初期雨水量共计约</w:t>
      </w:r>
      <w:r>
        <w:rPr>
          <w:rFonts w:hint="default" w:ascii="Times New Roman" w:hAnsi="Times New Roman" w:eastAsia="宋体" w:cs="Times New Roman"/>
          <w:b w:val="0"/>
          <w:bCs/>
          <w:sz w:val="24"/>
          <w:szCs w:val="24"/>
          <w:lang w:val="en-US" w:eastAsia="zh-CN"/>
        </w:rPr>
        <w:t>63</w:t>
      </w:r>
      <w:r>
        <w:rPr>
          <w:rFonts w:hint="default" w:ascii="Times New Roman" w:hAnsi="Times New Roman" w:cs="Times New Roman"/>
          <w:b w:val="0"/>
          <w:bCs/>
          <w:sz w:val="24"/>
          <w:szCs w:val="24"/>
          <w:lang w:val="en-US"/>
        </w:rPr>
        <w:t>m³，建议设置个</w:t>
      </w:r>
      <w:r>
        <w:rPr>
          <w:rFonts w:hint="default" w:ascii="Times New Roman" w:hAnsi="Times New Roman" w:eastAsia="宋体" w:cs="Times New Roman"/>
          <w:b w:val="0"/>
          <w:bCs/>
          <w:sz w:val="24"/>
          <w:szCs w:val="24"/>
          <w:lang w:val="en-US" w:eastAsia="zh-CN"/>
        </w:rPr>
        <w:t>100</w:t>
      </w:r>
      <w:r>
        <w:rPr>
          <w:rFonts w:hint="default" w:ascii="Times New Roman" w:hAnsi="Times New Roman" w:cs="Times New Roman"/>
          <w:b w:val="0"/>
          <w:bCs/>
          <w:sz w:val="24"/>
          <w:szCs w:val="24"/>
          <w:lang w:val="en-US"/>
        </w:rPr>
        <w:t>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cs="Times New Roman"/>
          <w:b w:val="0"/>
          <w:bCs/>
          <w:sz w:val="24"/>
          <w:szCs w:val="24"/>
          <w:lang w:val="en-US"/>
        </w:rPr>
        <w:t>的事故应急池</w:t>
      </w:r>
      <w:r>
        <w:rPr>
          <w:rFonts w:hint="default"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highlight w:val="none"/>
          <w:vertAlign w:val="baseline"/>
          <w:lang w:val="en-US" w:eastAsia="zh-CN"/>
        </w:rPr>
        <w:t>临巴中桥</w:t>
      </w:r>
      <w:r>
        <w:rPr>
          <w:rFonts w:hint="default" w:ascii="Times New Roman" w:hAnsi="Times New Roman" w:eastAsia="宋体" w:cs="Times New Roman"/>
          <w:b w:val="0"/>
          <w:bCs/>
          <w:sz w:val="24"/>
          <w:szCs w:val="24"/>
          <w:lang w:val="en-US"/>
        </w:rPr>
        <w:t>事故废水及初期雨水量共计约</w:t>
      </w:r>
      <w:r>
        <w:rPr>
          <w:rFonts w:hint="default" w:ascii="Times New Roman" w:hAnsi="Times New Roman" w:eastAsia="宋体" w:cs="Times New Roman"/>
          <w:b w:val="0"/>
          <w:bCs/>
          <w:sz w:val="24"/>
          <w:szCs w:val="24"/>
          <w:lang w:val="en-US" w:eastAsia="zh-CN"/>
        </w:rPr>
        <w:t>63</w:t>
      </w:r>
      <w:r>
        <w:rPr>
          <w:rFonts w:hint="default" w:ascii="Times New Roman" w:hAnsi="Times New Roman" w:eastAsia="宋体" w:cs="Times New Roman"/>
          <w:b w:val="0"/>
          <w:bCs/>
          <w:sz w:val="24"/>
          <w:szCs w:val="24"/>
          <w:lang w:val="en-US"/>
        </w:rPr>
        <w:t>m³，建议设置个</w:t>
      </w:r>
      <w:r>
        <w:rPr>
          <w:rFonts w:hint="default" w:ascii="Times New Roman" w:hAnsi="Times New Roman" w:eastAsia="宋体" w:cs="Times New Roman"/>
          <w:b w:val="0"/>
          <w:bCs/>
          <w:sz w:val="24"/>
          <w:szCs w:val="24"/>
          <w:lang w:val="en-US" w:eastAsia="zh-CN"/>
        </w:rPr>
        <w:t>100</w:t>
      </w:r>
      <w:r>
        <w:rPr>
          <w:rFonts w:hint="default" w:ascii="Times New Roman" w:hAnsi="Times New Roman" w:eastAsia="宋体" w:cs="Times New Roman"/>
          <w:b w:val="0"/>
          <w:bCs/>
          <w:sz w:val="24"/>
          <w:szCs w:val="24"/>
          <w:lang w:val="en-US"/>
        </w:rPr>
        <w:t>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eastAsia="宋体" w:cs="Times New Roman"/>
          <w:b w:val="0"/>
          <w:bCs/>
          <w:sz w:val="24"/>
          <w:szCs w:val="24"/>
          <w:lang w:val="en-US"/>
        </w:rPr>
        <w:t>的事故应急池</w:t>
      </w:r>
      <w:r>
        <w:rPr>
          <w:rFonts w:hint="default" w:ascii="Times New Roman" w:hAnsi="Times New Roman" w:cs="Times New Roman"/>
          <w:b w:val="0"/>
          <w:bCs/>
          <w:sz w:val="24"/>
          <w:szCs w:val="24"/>
          <w:lang w:val="en-US"/>
        </w:rPr>
        <w:t>。</w:t>
      </w:r>
    </w:p>
    <w:p>
      <w:pPr>
        <w:keepNext w:val="0"/>
        <w:keepLines w:val="0"/>
        <w:pageBreakBefore w:val="0"/>
        <w:widowControl w:val="0"/>
        <w:kinsoku/>
        <w:wordWrap/>
        <w:overflowPunct/>
        <w:topLinePunct w:val="0"/>
        <w:autoSpaceDE w:val="0"/>
        <w:autoSpaceDN w:val="0"/>
        <w:bidi w:val="0"/>
        <w:spacing w:line="240" w:lineRule="auto"/>
        <w:ind w:firstLine="422" w:firstLineChars="200"/>
        <w:jc w:val="center"/>
        <w:textAlignment w:val="auto"/>
        <w:rPr>
          <w:rFonts w:hint="default" w:ascii="Times New Roman" w:hAnsi="Times New Roman" w:cs="Times New Roman"/>
          <w:b/>
          <w:bCs w:val="0"/>
          <w:sz w:val="21"/>
          <w:szCs w:val="21"/>
          <w:lang w:val="en-US"/>
        </w:rPr>
      </w:pPr>
      <w:r>
        <w:rPr>
          <w:rFonts w:hint="default" w:ascii="Times New Roman" w:hAnsi="Times New Roman" w:eastAsia="宋体" w:cs="Times New Roman"/>
          <w:b/>
          <w:bCs w:val="0"/>
          <w:sz w:val="21"/>
          <w:szCs w:val="21"/>
          <w:lang w:val="en-US" w:eastAsia="zh-CN"/>
        </w:rPr>
        <w:t>表</w:t>
      </w:r>
      <w:r>
        <w:rPr>
          <w:rFonts w:hint="eastAsia" w:ascii="Times New Roman" w:hAnsi="Times New Roman" w:cs="Times New Roman"/>
          <w:b/>
          <w:bCs w:val="0"/>
          <w:sz w:val="21"/>
          <w:szCs w:val="21"/>
          <w:lang w:val="en-US" w:eastAsia="zh-CN"/>
        </w:rPr>
        <w:t>5.6-1</w:t>
      </w:r>
      <w:r>
        <w:rPr>
          <w:rFonts w:hint="default" w:ascii="Times New Roman" w:hAnsi="Times New Roman" w:eastAsia="宋体" w:cs="Times New Roman"/>
          <w:b/>
          <w:bCs w:val="0"/>
          <w:sz w:val="21"/>
          <w:szCs w:val="21"/>
          <w:lang w:val="en-US" w:eastAsia="zh-CN"/>
        </w:rPr>
        <w:t xml:space="preserve"> 事故应急池设置情况表</w:t>
      </w:r>
    </w:p>
    <w:tbl>
      <w:tblPr>
        <w:tblStyle w:val="1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223"/>
        <w:gridCol w:w="856"/>
        <w:gridCol w:w="856"/>
        <w:gridCol w:w="1058"/>
        <w:gridCol w:w="1140"/>
        <w:gridCol w:w="1373"/>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桩号</w:t>
            </w:r>
          </w:p>
        </w:tc>
        <w:tc>
          <w:tcPr>
            <w:tcW w:w="100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桥梁名称</w:t>
            </w:r>
          </w:p>
        </w:tc>
        <w:tc>
          <w:tcPr>
            <w:tcW w:w="7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长度（m）</w:t>
            </w:r>
          </w:p>
        </w:tc>
        <w:tc>
          <w:tcPr>
            <w:tcW w:w="7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宽度（m）</w:t>
            </w:r>
          </w:p>
        </w:tc>
        <w:tc>
          <w:tcPr>
            <w:tcW w:w="86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收集面积（m</w:t>
            </w:r>
            <w:r>
              <w:rPr>
                <w:rFonts w:hint="default" w:ascii="Times New Roman" w:hAnsi="Times New Roman" w:eastAsia="宋体" w:cs="Times New Roman"/>
                <w:b w:val="0"/>
                <w:bCs/>
                <w:sz w:val="21"/>
                <w:szCs w:val="21"/>
                <w:highlight w:val="none"/>
                <w:vertAlign w:val="superscript"/>
                <w:lang w:val="en-US" w:eastAsia="zh-CN"/>
              </w:rPr>
              <w:t>2</w:t>
            </w:r>
            <w:r>
              <w:rPr>
                <w:rFonts w:hint="default" w:ascii="Times New Roman" w:hAnsi="Times New Roman" w:eastAsia="宋体" w:cs="Times New Roman"/>
                <w:b w:val="0"/>
                <w:bCs/>
                <w:sz w:val="21"/>
                <w:szCs w:val="21"/>
                <w:highlight w:val="none"/>
                <w:vertAlign w:val="baseline"/>
                <w:lang w:val="en-US" w:eastAsia="zh-CN"/>
              </w:rPr>
              <w:t>）</w:t>
            </w:r>
          </w:p>
        </w:tc>
        <w:tc>
          <w:tcPr>
            <w:tcW w:w="93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事故废水量（m</w:t>
            </w:r>
            <w:r>
              <w:rPr>
                <w:rFonts w:hint="default" w:ascii="Times New Roman" w:hAnsi="Times New Roman" w:eastAsia="宋体" w:cs="Times New Roman"/>
                <w:b w:val="0"/>
                <w:bCs/>
                <w:sz w:val="21"/>
                <w:szCs w:val="21"/>
                <w:highlight w:val="none"/>
                <w:vertAlign w:val="superscript"/>
                <w:lang w:val="en-US" w:eastAsia="zh-CN"/>
              </w:rPr>
              <w:t>3</w:t>
            </w:r>
            <w:r>
              <w:rPr>
                <w:rFonts w:hint="default" w:ascii="Times New Roman" w:hAnsi="Times New Roman" w:eastAsia="宋体" w:cs="Times New Roman"/>
                <w:b w:val="0"/>
                <w:bCs/>
                <w:sz w:val="21"/>
                <w:szCs w:val="21"/>
                <w:highlight w:val="none"/>
                <w:vertAlign w:val="baseline"/>
                <w:lang w:val="en-US" w:eastAsia="zh-CN"/>
              </w:rPr>
              <w:t>）</w:t>
            </w:r>
          </w:p>
        </w:tc>
        <w:tc>
          <w:tcPr>
            <w:tcW w:w="112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初期雨水量（m</w:t>
            </w:r>
            <w:r>
              <w:rPr>
                <w:rFonts w:hint="default" w:ascii="Times New Roman" w:hAnsi="Times New Roman" w:eastAsia="宋体" w:cs="Times New Roman"/>
                <w:b w:val="0"/>
                <w:bCs/>
                <w:sz w:val="21"/>
                <w:szCs w:val="21"/>
                <w:highlight w:val="none"/>
                <w:vertAlign w:val="superscript"/>
                <w:lang w:val="en-US" w:eastAsia="zh-CN"/>
              </w:rPr>
              <w:t>3</w:t>
            </w:r>
            <w:r>
              <w:rPr>
                <w:rFonts w:hint="default" w:ascii="Times New Roman" w:hAnsi="Times New Roman" w:eastAsia="宋体" w:cs="Times New Roman"/>
                <w:b w:val="0"/>
                <w:bCs/>
                <w:sz w:val="21"/>
                <w:szCs w:val="21"/>
                <w:highlight w:val="none"/>
                <w:vertAlign w:val="baseline"/>
                <w:lang w:val="en-US" w:eastAsia="zh-CN"/>
              </w:rPr>
              <w:t>）</w:t>
            </w:r>
          </w:p>
        </w:tc>
        <w:tc>
          <w:tcPr>
            <w:tcW w:w="11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事故池容量（m</w:t>
            </w:r>
            <w:r>
              <w:rPr>
                <w:rFonts w:hint="default" w:ascii="Times New Roman" w:hAnsi="Times New Roman" w:eastAsia="宋体" w:cs="Times New Roman"/>
                <w:b w:val="0"/>
                <w:bCs/>
                <w:sz w:val="21"/>
                <w:szCs w:val="21"/>
                <w:highlight w:val="none"/>
                <w:vertAlign w:val="superscript"/>
                <w:lang w:val="en-US" w:eastAsia="zh-CN"/>
              </w:rPr>
              <w:t>3</w:t>
            </w:r>
            <w:r>
              <w:rPr>
                <w:rFonts w:hint="default" w:ascii="Times New Roman" w:hAnsi="Times New Roman" w:eastAsia="宋体" w:cs="Times New Roman"/>
                <w:b w:val="0"/>
                <w:bCs/>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K2+915.0</w:t>
            </w:r>
          </w:p>
        </w:tc>
        <w:tc>
          <w:tcPr>
            <w:tcW w:w="100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四合大桥</w:t>
            </w:r>
          </w:p>
        </w:tc>
        <w:tc>
          <w:tcPr>
            <w:tcW w:w="7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108</w:t>
            </w:r>
          </w:p>
        </w:tc>
        <w:tc>
          <w:tcPr>
            <w:tcW w:w="7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12</w:t>
            </w:r>
          </w:p>
        </w:tc>
        <w:tc>
          <w:tcPr>
            <w:tcW w:w="86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1296</w:t>
            </w:r>
          </w:p>
        </w:tc>
        <w:tc>
          <w:tcPr>
            <w:tcW w:w="93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50</w:t>
            </w:r>
          </w:p>
        </w:tc>
        <w:tc>
          <w:tcPr>
            <w:tcW w:w="112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13</w:t>
            </w:r>
          </w:p>
        </w:tc>
        <w:tc>
          <w:tcPr>
            <w:tcW w:w="11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K3+775.0</w:t>
            </w:r>
          </w:p>
        </w:tc>
        <w:tc>
          <w:tcPr>
            <w:tcW w:w="100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临巴中桥</w:t>
            </w:r>
          </w:p>
        </w:tc>
        <w:tc>
          <w:tcPr>
            <w:tcW w:w="7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88</w:t>
            </w:r>
          </w:p>
        </w:tc>
        <w:tc>
          <w:tcPr>
            <w:tcW w:w="7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19</w:t>
            </w:r>
          </w:p>
        </w:tc>
        <w:tc>
          <w:tcPr>
            <w:tcW w:w="86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1672</w:t>
            </w:r>
          </w:p>
        </w:tc>
        <w:tc>
          <w:tcPr>
            <w:tcW w:w="93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50</w:t>
            </w:r>
          </w:p>
        </w:tc>
        <w:tc>
          <w:tcPr>
            <w:tcW w:w="112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17</w:t>
            </w:r>
          </w:p>
        </w:tc>
        <w:tc>
          <w:tcPr>
            <w:tcW w:w="11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vertAlign w:val="baseline"/>
                <w:lang w:val="en-US"/>
              </w:rPr>
            </w:pPr>
            <w:r>
              <w:rPr>
                <w:rFonts w:hint="default" w:ascii="Times New Roman" w:hAnsi="Times New Roman" w:eastAsia="宋体" w:cs="Times New Roman"/>
                <w:b w:val="0"/>
                <w:bCs/>
                <w:sz w:val="21"/>
                <w:szCs w:val="21"/>
                <w:highlight w:val="none"/>
                <w:vertAlign w:val="baseline"/>
                <w:lang w:val="en-US" w:eastAsia="zh-CN"/>
              </w:rPr>
              <w:t>100*1</w:t>
            </w:r>
          </w:p>
        </w:tc>
      </w:tr>
    </w:tbl>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b w:val="0"/>
          <w:bCs/>
          <w:sz w:val="24"/>
          <w:szCs w:val="24"/>
          <w:lang w:val="en-US"/>
        </w:rPr>
      </w:pP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4）</w:t>
      </w:r>
      <w:r>
        <w:rPr>
          <w:rFonts w:hint="default" w:ascii="Times New Roman" w:hAnsi="Times New Roman" w:cs="Times New Roman"/>
          <w:b w:val="0"/>
          <w:bCs/>
          <w:sz w:val="24"/>
          <w:szCs w:val="24"/>
          <w:lang w:val="en-US"/>
        </w:rPr>
        <w:t xml:space="preserve"> 危险品运输管理措施</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公路管理部门应加强危险品运输管理，严格执行有关公路运输危险品的规定。</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a</w:t>
      </w:r>
      <w:r>
        <w:rPr>
          <w:rFonts w:hint="default" w:ascii="Times New Roman" w:hAnsi="Times New Roman" w:cs="Times New Roman"/>
          <w:b w:val="0"/>
          <w:bCs/>
          <w:sz w:val="24"/>
          <w:szCs w:val="24"/>
          <w:lang w:val="en-US"/>
        </w:rPr>
        <w:t>强化相关人员相关法规教育和培训</w:t>
      </w: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对从事危险品运输的驾驶员和管理人员，应严格遵守有关危险品运输安全技术规定和操作规程，学习和掌握国家有关部门颁布实施的相关法规。</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b</w:t>
      </w:r>
      <w:r>
        <w:rPr>
          <w:rFonts w:hint="default" w:ascii="Times New Roman" w:hAnsi="Times New Roman" w:cs="Times New Roman"/>
          <w:b w:val="0"/>
          <w:bCs/>
          <w:sz w:val="24"/>
          <w:szCs w:val="24"/>
          <w:lang w:val="en-US"/>
        </w:rPr>
        <w:t>加强运营期危险品运输管理</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①由</w:t>
      </w:r>
      <w:r>
        <w:rPr>
          <w:rFonts w:hint="default" w:ascii="Times New Roman" w:hAnsi="Times New Roman" w:cs="Times New Roman"/>
          <w:b w:val="0"/>
          <w:bCs/>
          <w:sz w:val="24"/>
          <w:szCs w:val="24"/>
          <w:lang w:val="en-US" w:eastAsia="zh-CN"/>
        </w:rPr>
        <w:t>渠县</w:t>
      </w:r>
      <w:r>
        <w:rPr>
          <w:rFonts w:hint="default" w:ascii="Times New Roman" w:hAnsi="Times New Roman" w:cs="Times New Roman"/>
          <w:b w:val="0"/>
          <w:bCs/>
          <w:sz w:val="24"/>
          <w:szCs w:val="24"/>
          <w:lang w:val="en-US"/>
        </w:rPr>
        <w:t>交通运输局建立本地区化学危险品货物运输调度和货运代理网络。</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②由</w:t>
      </w:r>
      <w:r>
        <w:rPr>
          <w:rFonts w:hint="default" w:ascii="Times New Roman" w:hAnsi="Times New Roman" w:cs="Times New Roman"/>
          <w:b w:val="0"/>
          <w:bCs/>
          <w:sz w:val="24"/>
          <w:szCs w:val="24"/>
          <w:lang w:val="en-US" w:eastAsia="zh-CN"/>
        </w:rPr>
        <w:t>渠县</w:t>
      </w:r>
      <w:r>
        <w:rPr>
          <w:rFonts w:hint="default" w:ascii="Times New Roman" w:hAnsi="Times New Roman" w:cs="Times New Roman"/>
          <w:b w:val="0"/>
          <w:bCs/>
          <w:sz w:val="24"/>
          <w:szCs w:val="24"/>
          <w:lang w:val="en-US"/>
        </w:rPr>
        <w:t>交通运输局对货运代理和承运单位实行资格认证。各生产</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销售</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经营</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物资</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仓储</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外贸及化学危险品货运代理和承运单位，并向交通局报送运输计划和有关报表。</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③化学危险品运输实行"准运证"</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"驾驶员证"</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"押运员"制度，所有从事化学危险品货物运输</w:t>
      </w:r>
      <w:r>
        <w:rPr>
          <w:rFonts w:hint="eastAsia" w:ascii="Times New Roman" w:hAnsi="Times New Roman" w:cs="Times New Roman"/>
          <w:b w:val="0"/>
          <w:bCs/>
          <w:sz w:val="24"/>
          <w:szCs w:val="24"/>
          <w:lang w:val="en-US" w:eastAsia="zh-CN"/>
        </w:rPr>
        <w:t>的车辆</w:t>
      </w:r>
      <w:r>
        <w:rPr>
          <w:rFonts w:hint="default" w:ascii="Times New Roman" w:hAnsi="Times New Roman" w:cs="Times New Roman"/>
          <w:b w:val="0"/>
          <w:bCs/>
          <w:sz w:val="24"/>
          <w:szCs w:val="24"/>
          <w:lang w:val="en-US"/>
        </w:rPr>
        <w:t>要使用统一专用标志，定期定点检测，对有关人员进行专业培训</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考试。</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④由公安交通管理部门</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公安消防部门对化学危险品货物运输车辆指定行驶区域路线，运输化学危险货物的车辆必须按指定车场停放。</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⑤凡从事长途危险货物运输的车辆须使用专业标记</w:t>
      </w:r>
      <w:r>
        <w:rPr>
          <w:rFonts w:hint="eastAsia" w:ascii="Times New Roman" w:hAnsi="Times New Roman" w:cs="Times New Roman"/>
          <w:b w:val="0"/>
          <w:bCs/>
          <w:sz w:val="24"/>
          <w:szCs w:val="24"/>
          <w:lang w:val="en-US" w:eastAsia="zh-CN"/>
        </w:rPr>
        <w:t>的</w:t>
      </w:r>
      <w:r>
        <w:rPr>
          <w:rFonts w:hint="default" w:ascii="Times New Roman" w:hAnsi="Times New Roman" w:cs="Times New Roman"/>
          <w:b w:val="0"/>
          <w:bCs/>
          <w:sz w:val="24"/>
          <w:szCs w:val="24"/>
          <w:lang w:val="en-US"/>
        </w:rPr>
        <w:t>统一行车路单，各公安</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交通管理检查站负责监督检查。</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⑥加强对驾驶员安全教育，严禁酒后开车</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疲劳开车和强行超车</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在危险品运输过程中，司乘人员严禁吸烟，停车时不准靠近明火和高温场所，中途不得随意停车。</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⑦公路管理部门应对运输危险品车辆实行申报管理制度，车主需填写申报表，主要内容有</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危险货物执照号码</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货物品种等级和编号</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收发货人名称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装卸地点</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货物特性等。把好危险品上路检查关。在公路出入口，还应检查直接从事道路危险品货物的运输人员是否持有《道路危险品货物操作证》等"三证"，运输车辆及设备必须符合规定的条件并配有相关证明。禁止不符合安全运输规定的车辆上路行驶。</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⑧在重要路段可设置"减速行驶</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安全驾驶"的警示牌。危险品运输车辆应保持安全运输车距，严禁超车</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超速。</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⑨在雨季等易发生山洪泥石流的天气状况下，禁止危险品运输车辆进入。</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⑩建议在公路监控系统的基础上，增加突发性环境污染事故控制的指挥功能。风险应急预案的编制应符合《突发环境事件应急管理办法》的相关要求，并向当地环保部门进行备案。在发生油料</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危险化学品</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有毒有害物品泄漏紧急情况下，应关闭该路段，启动应急计划，进行泄漏处理。</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7</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风险应急预案</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Times New Roman" w:hAnsi="Times New Roman" w:eastAsia="宋体" w:cs="Times New Roman"/>
          <w:b w:val="0"/>
          <w:bCs/>
          <w:sz w:val="24"/>
          <w:szCs w:val="24"/>
          <w:lang w:val="en-US" w:eastAsia="zh-CN"/>
        </w:rPr>
      </w:pPr>
      <w:r>
        <w:rPr>
          <w:rFonts w:hint="default" w:ascii="Times New Roman" w:hAnsi="Times New Roman" w:cs="Times New Roman"/>
          <w:b w:val="0"/>
          <w:bCs/>
          <w:sz w:val="24"/>
          <w:szCs w:val="24"/>
          <w:lang w:val="en-US"/>
        </w:rPr>
        <w:t>为了确保发生突发性事故时可以得到及时处置，本公路管理部门应联合公安</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保等部门共同组成公路应急指挥中心，并设立24小时报警电话，在发生环境风险事故后应立即报告有关部门，及时妥善处理好事故。公路管理部门成立风险应急反应中心，负责公路的危险品运输管理和应急处理。应制定风险事故应急预案，并纳入达州市突发公共事件总体应急预案中。应急预案的制定应注意以下风险防范和应急处理</w:t>
      </w:r>
      <w:r>
        <w:rPr>
          <w:rFonts w:hint="eastAsia"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（1）风险防范</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①公路管理部门应有专人负责公路风险应急预案，备有本工程跨越沿线河流相关资料（包括河流与公路的关系</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河流水体功能等基本内容）及与当地政府</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环保</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公安</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消防等相关部门联系的热线电话。一旦发生可能污染重要水体水环境的交通事故，在第一时间通知上述相关职能部门，同时充分利用公路自备的各种风险应急装备配合公安消防等职能部门进行抢险。</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②在重要卡口处设置危险化学品运输申报点，对申报危险品运输的车辆的准运证</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驾驶证和押运证及危险品行车单实施检查，必要时对车辆进行安全检查，手续不全的车辆禁止上路，并在车上安装危险品运输标志。</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③对运输危险化学品的车辆实行全程监控，防止危险品运输车辆高速行驶</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超车，如果运输数量大，必要时进行交通控制，以减少事故。</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④充分发挥收费站</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路政及公路巡警的监督检查和管理职能，对各种未申报又无危险品运输标准的罐车</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筒装车进行检查，未按规定办理手续的车辆禁止进入公路。</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⑤风暴</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大雾天气禁止运输危险品车辆上路，在相应路段的管理站待命。</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⑥在沿线跨河路段的桥梁两侧设置加固防撞护栏。在较敏感路段及事故多发地段，交通管理部门应设置醒目的提示板或警告牌，并公布事故应急报警电话。</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⑦桥梁设置桥面径流收集系统和足够容积的事故应急池，配备相应的应急物资，防止危化品泄漏到水</w:t>
      </w:r>
      <w:r>
        <w:rPr>
          <w:rFonts w:hint="default" w:ascii="Times New Roman" w:hAnsi="Times New Roman" w:cs="Times New Roman"/>
          <w:b w:val="0"/>
          <w:bCs/>
          <w:sz w:val="24"/>
          <w:szCs w:val="24"/>
          <w:lang w:val="en-US" w:eastAsia="zh-CN"/>
        </w:rPr>
        <w:t>体</w:t>
      </w:r>
      <w:r>
        <w:rPr>
          <w:rFonts w:hint="default" w:ascii="Times New Roman" w:hAnsi="Times New Roman" w:cs="Times New Roman"/>
          <w:b w:val="0"/>
          <w:bCs/>
          <w:sz w:val="24"/>
          <w:szCs w:val="24"/>
          <w:lang w:val="en-US"/>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⑧如危险品为有毒气态物质时，消防人员应戴防毒面具进行处理，在泄漏无法避免的情况下，需马上通知当地的政府部门</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公安</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环保部门，必要时对于处于污染范围内的人员进行疏散，避免发生人员伤亡事故。</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⑨地区交通部门要确定交通运输保障队伍，掌握车辆的提供单位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数量</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功能</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驾驶员名册等各种情况，</w:t>
      </w:r>
      <w:r>
        <w:rPr>
          <w:rFonts w:hint="eastAsia" w:ascii="Times New Roman" w:hAnsi="Times New Roman" w:cs="Times New Roman"/>
          <w:b w:val="0"/>
          <w:bCs/>
          <w:sz w:val="24"/>
          <w:szCs w:val="24"/>
          <w:lang w:val="en-US" w:eastAsia="zh-CN"/>
        </w:rPr>
        <w:t>建立</w:t>
      </w:r>
      <w:r>
        <w:rPr>
          <w:rFonts w:hint="default" w:ascii="Times New Roman" w:hAnsi="Times New Roman" w:cs="Times New Roman"/>
          <w:b w:val="0"/>
          <w:bCs/>
          <w:sz w:val="24"/>
          <w:szCs w:val="24"/>
          <w:lang w:val="en-US"/>
        </w:rPr>
        <w:t>交通保障动态数据库，保障道路畅通，确保应急工作及时开展。</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（2）应急处理</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rPr>
        <w:t>①进行环境应急监测</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污染源调查</w:t>
      </w:r>
      <w:r>
        <w:rPr>
          <w:rFonts w:hint="default"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②污染源控制</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污染消除</w:t>
      </w:r>
      <w:r>
        <w:rPr>
          <w:rFonts w:hint="default"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③人员撤离，组织群众开展自救互救</w:t>
      </w:r>
      <w:r>
        <w:rPr>
          <w:rFonts w:hint="default"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cs="Times New Roman"/>
          <w:b w:val="0"/>
          <w:bCs/>
          <w:sz w:val="24"/>
          <w:szCs w:val="24"/>
          <w:lang w:val="en-US"/>
        </w:rPr>
        <w:t>④划定受污染区域，确定污染警戒区，采取必要管制措施</w:t>
      </w:r>
      <w:r>
        <w:rPr>
          <w:rFonts w:hint="default"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⑤涉及其他管理区域的，要及时相互通报</w:t>
      </w:r>
      <w:r>
        <w:rPr>
          <w:rFonts w:hint="default"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⑥组织突发事件评估专家组分析突发事件的发展趋势，提出应急处置工作建议，及时上报有关情况</w:t>
      </w:r>
      <w:r>
        <w:rPr>
          <w:rFonts w:hint="default"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⑦）向社会发出危险或避险警告</w:t>
      </w:r>
      <w:r>
        <w:rPr>
          <w:rFonts w:hint="default"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⑧达州市</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渠县</w:t>
      </w:r>
      <w:r>
        <w:rPr>
          <w:rFonts w:hint="default" w:ascii="Times New Roman" w:hAnsi="Times New Roman" w:cs="Times New Roman"/>
          <w:b w:val="0"/>
          <w:bCs/>
          <w:sz w:val="24"/>
          <w:szCs w:val="24"/>
          <w:lang w:val="en-US"/>
        </w:rPr>
        <w:t>突发环境事故应急指挥部接到报告后，应立即启动应急预案，同时上报省突发环境事故指挥部</w:t>
      </w:r>
      <w:r>
        <w:rPr>
          <w:rFonts w:hint="default" w:ascii="Times New Roman" w:hAnsi="Times New Roman" w:cs="Times New Roman"/>
          <w:b w:val="0"/>
          <w:bCs/>
          <w:sz w:val="24"/>
          <w:szCs w:val="24"/>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⑨在省</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市突发环境事故应急指挥部的指导下，县生态环境保护行政主管部门迅速组织环境监察</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环境监测应急队伍和技术人员赶到突发环境事故现场，进行环境应急监测</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污染源控制</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污染源转移</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污染消除</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人员撤离</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受污染区域划定，同时组织突发环境事件评估专家组分析事件的发展趋势，提出应急处置工作建议，及时报告有关情况。</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⑩相关部门在市级突发环境事故应急处理指挥部的统一指挥下，按照要求认真履行职责，落实有关控制措施。达州市突发环境事故应急指挥部紧急调动和征集有关人员</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物资</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交通工具以及相关设施</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设备</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进行现场隔离</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受污染区域的确定与封锁</w:t>
      </w: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保证应急处理所需的物资</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经费</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组织相关部门协助环境保护行政部门做好应急处置工作</w:t>
      </w: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做好舆论宣传工作。</w:t>
      </w: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2"/>
        <w:rPr>
          <w:rFonts w:hint="default" w:ascii="Times New Roman" w:hAnsi="Times New Roman" w:cs="Times New Roman"/>
          <w:b w:val="0"/>
          <w:bCs/>
          <w:sz w:val="24"/>
          <w:szCs w:val="24"/>
          <w:lang w:val="en-US"/>
        </w:rPr>
      </w:pPr>
    </w:p>
    <w:p>
      <w:pPr>
        <w:rPr>
          <w:rFonts w:hint="default" w:ascii="Times New Roman" w:hAnsi="Times New Roman" w:cs="Times New Roman"/>
          <w:b w:val="0"/>
          <w:bCs/>
          <w:sz w:val="24"/>
          <w:szCs w:val="24"/>
          <w:lang w:val="en-US"/>
        </w:rPr>
      </w:pPr>
    </w:p>
    <w:p>
      <w:pPr>
        <w:pStyle w:val="3"/>
        <w:bidi w:val="0"/>
        <w:rPr>
          <w:rFonts w:hint="default"/>
          <w:lang w:val="en-US" w:eastAsia="zh-CN"/>
        </w:rPr>
      </w:pPr>
      <w:bookmarkStart w:id="135" w:name="_Toc21424"/>
      <w:r>
        <w:rPr>
          <w:rFonts w:hint="default"/>
          <w:lang w:val="en-US" w:eastAsia="zh-CN"/>
        </w:rPr>
        <w:t>6. 环境保护措施投资估算</w:t>
      </w:r>
      <w:bookmarkEnd w:id="135"/>
    </w:p>
    <w:p>
      <w:pPr>
        <w:pStyle w:val="4"/>
        <w:bidi w:val="0"/>
        <w:rPr>
          <w:rFonts w:hint="default"/>
          <w:lang w:val="en-US" w:eastAsia="zh-CN"/>
        </w:rPr>
      </w:pPr>
      <w:bookmarkStart w:id="136" w:name="_Toc605"/>
      <w:r>
        <w:rPr>
          <w:rFonts w:hint="default"/>
          <w:lang w:val="en-US" w:eastAsia="zh-CN"/>
        </w:rPr>
        <w:t>6.1.环保一次性投资</w:t>
      </w:r>
      <w:bookmarkEnd w:id="136"/>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本工程环境保护投资总计</w:t>
      </w:r>
      <w:r>
        <w:rPr>
          <w:rFonts w:hint="default" w:ascii="Times New Roman" w:hAnsi="Times New Roman" w:cs="Times New Roman"/>
          <w:b w:val="0"/>
          <w:bCs/>
          <w:sz w:val="24"/>
          <w:szCs w:val="24"/>
          <w:lang w:val="en-US" w:eastAsia="zh-CN"/>
        </w:rPr>
        <w:t>127.7</w:t>
      </w:r>
      <w:r>
        <w:rPr>
          <w:rFonts w:hint="default" w:ascii="Times New Roman" w:hAnsi="Times New Roman" w:cs="Times New Roman"/>
          <w:b w:val="0"/>
          <w:bCs/>
          <w:sz w:val="24"/>
          <w:szCs w:val="24"/>
          <w:lang w:val="en-US"/>
        </w:rPr>
        <w:t xml:space="preserve"> 万元，环境保护投资占工程总投资（ </w:t>
      </w:r>
      <w:r>
        <w:rPr>
          <w:rFonts w:hint="default" w:ascii="Times New Roman" w:hAnsi="Times New Roman" w:cs="Times New Roman"/>
          <w:b w:val="0"/>
          <w:bCs/>
          <w:sz w:val="24"/>
          <w:szCs w:val="24"/>
          <w:lang w:val="en-US" w:eastAsia="zh-CN"/>
        </w:rPr>
        <w:t>16740万</w:t>
      </w:r>
      <w:r>
        <w:rPr>
          <w:rFonts w:hint="default" w:ascii="Times New Roman" w:hAnsi="Times New Roman" w:cs="Times New Roman"/>
          <w:b w:val="0"/>
          <w:bCs/>
          <w:sz w:val="24"/>
          <w:szCs w:val="24"/>
          <w:lang w:val="en-US"/>
        </w:rPr>
        <w:t xml:space="preserve">元）的 </w:t>
      </w:r>
      <w:r>
        <w:rPr>
          <w:rFonts w:hint="default" w:ascii="Times New Roman" w:hAnsi="Times New Roman" w:cs="Times New Roman"/>
          <w:b w:val="0"/>
          <w:bCs/>
          <w:sz w:val="24"/>
          <w:szCs w:val="24"/>
          <w:lang w:val="en-US" w:eastAsia="zh-CN"/>
        </w:rPr>
        <w:t>0.76</w:t>
      </w:r>
      <w:r>
        <w:rPr>
          <w:rFonts w:hint="default" w:ascii="Times New Roman" w:hAnsi="Times New Roman" w:cs="Times New Roman"/>
          <w:b w:val="0"/>
          <w:bCs/>
          <w:sz w:val="24"/>
          <w:szCs w:val="24"/>
          <w:lang w:val="en-US"/>
        </w:rPr>
        <w:t>%。</w:t>
      </w:r>
    </w:p>
    <w:p>
      <w:pPr>
        <w:tabs>
          <w:tab w:val="left" w:pos="913"/>
        </w:tabs>
        <w:spacing w:before="0" w:after="30"/>
        <w:ind w:left="2" w:right="0" w:firstLine="0"/>
        <w:jc w:val="center"/>
        <w:rPr>
          <w:rFonts w:hint="default" w:ascii="Times New Roman" w:hAnsi="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6.</w:t>
      </w:r>
      <w:r>
        <w:rPr>
          <w:rFonts w:hint="default" w:ascii="Times New Roman" w:hAnsi="Times New Roman" w:eastAsia="宋体" w:cs="Times New Roman"/>
          <w:b/>
          <w:sz w:val="21"/>
          <w:lang w:val="en-US" w:eastAsia="zh-CN"/>
        </w:rPr>
        <w:t>1</w:t>
      </w:r>
      <w:r>
        <w:rPr>
          <w:rFonts w:hint="default" w:ascii="Times New Roman" w:hAnsi="Times New Roman" w:eastAsia="Times New Roman" w:cs="Times New Roman"/>
          <w:b/>
          <w:sz w:val="21"/>
        </w:rPr>
        <w:t>-1</w:t>
      </w:r>
      <w:r>
        <w:rPr>
          <w:rFonts w:hint="default" w:ascii="Times New Roman" w:hAnsi="Times New Roman" w:eastAsia="Times New Roman" w:cs="Times New Roman"/>
          <w:b/>
          <w:sz w:val="21"/>
        </w:rPr>
        <w:tab/>
      </w:r>
      <w:r>
        <w:rPr>
          <w:rFonts w:hint="default" w:ascii="Times New Roman" w:hAnsi="Times New Roman" w:cs="Times New Roman"/>
          <w:b/>
          <w:sz w:val="21"/>
        </w:rPr>
        <w:t>环保措施直接</w:t>
      </w:r>
      <w:r>
        <w:rPr>
          <w:rFonts w:hint="default" w:ascii="Times New Roman" w:hAnsi="Times New Roman" w:cs="Times New Roman"/>
          <w:b/>
          <w:spacing w:val="-3"/>
          <w:sz w:val="21"/>
        </w:rPr>
        <w:t>投</w:t>
      </w:r>
      <w:r>
        <w:rPr>
          <w:rFonts w:hint="default" w:ascii="Times New Roman" w:hAnsi="Times New Roman" w:cs="Times New Roman"/>
          <w:b/>
          <w:sz w:val="21"/>
        </w:rPr>
        <w:t>资列表</w:t>
      </w:r>
    </w:p>
    <w:tbl>
      <w:tblPr>
        <w:tblStyle w:val="17"/>
        <w:tblW w:w="4754"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558"/>
        <w:gridCol w:w="498"/>
        <w:gridCol w:w="670"/>
        <w:gridCol w:w="3282"/>
        <w:gridCol w:w="698"/>
        <w:gridCol w:w="792"/>
        <w:gridCol w:w="2557"/>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1190" w:type="dxa"/>
            <w:gridSpan w:val="2"/>
            <w:tcBorders>
              <w:bottom w:val="single" w:color="000000" w:sz="6" w:space="0"/>
              <w:right w:val="single" w:color="000000" w:sz="6" w:space="0"/>
            </w:tcBorders>
            <w:vAlign w:val="center"/>
          </w:tcPr>
          <w:p>
            <w:pPr>
              <w:pStyle w:val="23"/>
              <w:spacing w:before="131" w:line="240" w:lineRule="auto"/>
              <w:ind w:left="4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环保项目</w:t>
            </w:r>
          </w:p>
        </w:tc>
        <w:tc>
          <w:tcPr>
            <w:tcW w:w="4446" w:type="dxa"/>
            <w:gridSpan w:val="2"/>
            <w:tcBorders>
              <w:left w:val="single" w:color="000000" w:sz="6" w:space="0"/>
              <w:bottom w:val="single" w:color="000000" w:sz="6" w:space="0"/>
              <w:right w:val="single" w:color="000000" w:sz="6" w:space="0"/>
            </w:tcBorders>
            <w:vAlign w:val="center"/>
          </w:tcPr>
          <w:p>
            <w:pPr>
              <w:pStyle w:val="23"/>
              <w:spacing w:before="13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措施内容</w:t>
            </w:r>
          </w:p>
        </w:tc>
        <w:tc>
          <w:tcPr>
            <w:tcW w:w="785" w:type="dxa"/>
            <w:tcBorders>
              <w:left w:val="single" w:color="000000" w:sz="6" w:space="0"/>
              <w:bottom w:val="single" w:color="000000" w:sz="6" w:space="0"/>
              <w:right w:val="single" w:color="000000" w:sz="6" w:space="0"/>
            </w:tcBorders>
            <w:vAlign w:val="center"/>
          </w:tcPr>
          <w:p>
            <w:pPr>
              <w:pStyle w:val="23"/>
              <w:spacing w:before="131"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890" w:type="dxa"/>
            <w:tcBorders>
              <w:left w:val="single" w:color="000000" w:sz="6" w:space="0"/>
              <w:bottom w:val="single" w:color="000000" w:sz="6" w:space="0"/>
              <w:right w:val="single" w:color="000000" w:sz="6" w:space="0"/>
            </w:tcBorders>
            <w:vAlign w:val="center"/>
          </w:tcPr>
          <w:p>
            <w:pPr>
              <w:pStyle w:val="23"/>
              <w:spacing w:before="2" w:line="240" w:lineRule="auto"/>
              <w:ind w:left="35" w:right="7"/>
              <w:jc w:val="center"/>
              <w:rPr>
                <w:rFonts w:hint="default" w:ascii="Times New Roman" w:hAnsi="Times New Roman" w:cs="Times New Roman"/>
                <w:sz w:val="21"/>
                <w:szCs w:val="21"/>
              </w:rPr>
            </w:pPr>
            <w:r>
              <w:rPr>
                <w:rFonts w:hint="default" w:ascii="Times New Roman" w:hAnsi="Times New Roman" w:eastAsia="宋体" w:cs="Times New Roman"/>
                <w:sz w:val="21"/>
                <w:szCs w:val="21"/>
              </w:rPr>
              <w:t>金额</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 xml:space="preserve"> </w:t>
            </w:r>
            <w:r>
              <w:rPr>
                <w:rFonts w:hint="default" w:ascii="Times New Roman" w:hAnsi="Times New Roman" w:eastAsia="宋体" w:cs="Times New Roman"/>
                <w:sz w:val="21"/>
                <w:szCs w:val="21"/>
              </w:rPr>
              <w:t>万元</w:t>
            </w:r>
            <w:r>
              <w:rPr>
                <w:rFonts w:hint="eastAsia" w:ascii="Times New Roman" w:hAnsi="Times New Roman" w:eastAsia="宋体" w:cs="Times New Roman"/>
                <w:sz w:val="21"/>
                <w:szCs w:val="21"/>
                <w:lang w:eastAsia="zh-CN"/>
              </w:rPr>
              <w:t>）</w:t>
            </w:r>
          </w:p>
        </w:tc>
        <w:tc>
          <w:tcPr>
            <w:tcW w:w="2878" w:type="dxa"/>
            <w:tcBorders>
              <w:left w:val="single" w:color="000000" w:sz="6" w:space="0"/>
              <w:bottom w:val="single" w:color="000000" w:sz="6" w:space="0"/>
            </w:tcBorders>
            <w:vAlign w:val="center"/>
          </w:tcPr>
          <w:p>
            <w:pPr>
              <w:pStyle w:val="23"/>
              <w:spacing w:before="131" w:line="240" w:lineRule="auto"/>
              <w:ind w:left="3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6" w:hRule="atLeast"/>
          <w:jc w:val="center"/>
        </w:trPr>
        <w:tc>
          <w:tcPr>
            <w:tcW w:w="629" w:type="dxa"/>
            <w:vMerge w:val="restart"/>
            <w:tcBorders>
              <w:top w:val="single" w:color="000000" w:sz="6" w:space="0"/>
              <w:bottom w:val="single" w:color="000000" w:sz="6" w:space="0"/>
              <w:right w:val="single" w:color="000000" w:sz="6" w:space="0"/>
            </w:tcBorders>
            <w:vAlign w:val="center"/>
          </w:tcPr>
          <w:p>
            <w:pPr>
              <w:pStyle w:val="23"/>
              <w:spacing w:line="240" w:lineRule="auto"/>
              <w:ind w:left="43" w:right="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生态环境保护及 恢复</w:t>
            </w:r>
          </w:p>
        </w:tc>
        <w:tc>
          <w:tcPr>
            <w:tcW w:w="561" w:type="dxa"/>
            <w:vMerge w:val="restart"/>
            <w:tcBorders>
              <w:top w:val="single" w:color="000000" w:sz="6" w:space="0"/>
              <w:left w:val="single" w:color="000000" w:sz="6" w:space="0"/>
              <w:bottom w:val="single" w:color="000000" w:sz="6" w:space="0"/>
              <w:right w:val="single" w:color="000000" w:sz="6" w:space="0"/>
            </w:tcBorders>
            <w:vAlign w:val="center"/>
          </w:tcPr>
          <w:p>
            <w:pPr>
              <w:pStyle w:val="23"/>
              <w:spacing w:before="155" w:line="240" w:lineRule="auto"/>
              <w:ind w:left="33" w:right="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一般路段</w:t>
            </w:r>
          </w:p>
        </w:tc>
        <w:tc>
          <w:tcPr>
            <w:tcW w:w="753" w:type="dxa"/>
            <w:vMerge w:val="restart"/>
            <w:tcBorders>
              <w:top w:val="single" w:color="000000" w:sz="6" w:space="0"/>
              <w:left w:val="single" w:color="000000" w:sz="6" w:space="0"/>
              <w:bottom w:val="single" w:color="000000" w:sz="6" w:space="0"/>
              <w:right w:val="single" w:color="000000" w:sz="6" w:space="0"/>
            </w:tcBorders>
            <w:vAlign w:val="center"/>
          </w:tcPr>
          <w:p>
            <w:pPr>
              <w:pStyle w:val="23"/>
              <w:spacing w:before="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9"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工程防治区水土保持措施</w:t>
            </w:r>
          </w:p>
          <w:p>
            <w:pPr>
              <w:pStyle w:val="23"/>
              <w:spacing w:before="9" w:line="240" w:lineRule="auto"/>
              <w:ind w:left="35"/>
              <w:jc w:val="center"/>
              <w:rPr>
                <w:rFonts w:hint="default" w:ascii="Times New Roman" w:hAnsi="Times New Roman"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包括沿河临水路段施工防护措施</w:t>
            </w:r>
            <w:r>
              <w:rPr>
                <w:rFonts w:hint="eastAsia" w:ascii="Times New Roman" w:hAnsi="Times New Roman" w:eastAsia="宋体" w:cs="Times New Roman"/>
                <w:sz w:val="21"/>
                <w:szCs w:val="21"/>
                <w:lang w:eastAsia="zh-CN"/>
              </w:rPr>
              <w:t>）</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40" w:line="240" w:lineRule="auto"/>
              <w:ind w:left="33"/>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40"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2878" w:type="dxa"/>
            <w:tcBorders>
              <w:top w:val="single" w:color="000000" w:sz="6" w:space="0"/>
              <w:left w:val="single" w:color="000000" w:sz="6" w:space="0"/>
              <w:bottom w:val="single" w:color="000000" w:sz="6" w:space="0"/>
            </w:tcBorders>
            <w:vAlign w:val="center"/>
          </w:tcPr>
          <w:p>
            <w:pPr>
              <w:pStyle w:val="23"/>
              <w:spacing w:before="9" w:line="240" w:lineRule="auto"/>
              <w:ind w:left="3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根据本项目水土保持方案</w:t>
            </w:r>
          </w:p>
          <w:p>
            <w:pPr>
              <w:pStyle w:val="23"/>
              <w:spacing w:before="9" w:line="240" w:lineRule="auto"/>
              <w:ind w:left="3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新增水土保持措施投资</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81" w:hRule="atLeast"/>
          <w:jc w:val="center"/>
        </w:trPr>
        <w:tc>
          <w:tcPr>
            <w:tcW w:w="629" w:type="dxa"/>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561" w:type="dxa"/>
            <w:vMerge w:val="continue"/>
            <w:tcBorders>
              <w:top w:val="nil"/>
              <w:left w:val="single" w:color="000000" w:sz="6" w:space="0"/>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753" w:type="dxa"/>
            <w:vMerge w:val="continue"/>
            <w:tcBorders>
              <w:top w:val="nil"/>
              <w:left w:val="single" w:color="000000" w:sz="6" w:space="0"/>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14" w:line="240" w:lineRule="auto"/>
              <w:ind w:left="35"/>
              <w:jc w:val="center"/>
              <w:rPr>
                <w:rFonts w:hint="default" w:ascii="Times New Roman" w:hAnsi="Times New Roman" w:cs="Times New Roman"/>
                <w:sz w:val="21"/>
                <w:szCs w:val="21"/>
              </w:rPr>
            </w:pPr>
            <w:r>
              <w:rPr>
                <w:rFonts w:hint="default" w:ascii="Times New Roman" w:hAnsi="Times New Roman" w:eastAsia="宋体" w:cs="Times New Roman"/>
                <w:sz w:val="21"/>
                <w:szCs w:val="21"/>
              </w:rPr>
              <w:t>公路绿化及景观</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46" w:line="240" w:lineRule="auto"/>
              <w:ind w:left="33"/>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w w:val="99"/>
                <w:sz w:val="21"/>
                <w:szCs w:val="21"/>
                <w:lang w:val="en-US" w:eastAsia="zh-CN"/>
              </w:rPr>
              <w:t>/</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46"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2878" w:type="dxa"/>
            <w:tcBorders>
              <w:top w:val="single" w:color="000000" w:sz="6" w:space="0"/>
              <w:left w:val="single" w:color="000000" w:sz="6" w:space="0"/>
              <w:bottom w:val="single" w:color="000000" w:sz="6" w:space="0"/>
            </w:tcBorders>
            <w:vAlign w:val="center"/>
          </w:tcPr>
          <w:p>
            <w:pPr>
              <w:pStyle w:val="23"/>
              <w:spacing w:before="134" w:line="240" w:lineRule="auto"/>
              <w:ind w:left="3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计入</w:t>
            </w:r>
            <w:r>
              <w:rPr>
                <w:rFonts w:hint="default" w:ascii="Times New Roman" w:hAnsi="Times New Roman" w:eastAsia="宋体" w:cs="Times New Roman"/>
                <w:sz w:val="21"/>
                <w:szCs w:val="21"/>
                <w:lang w:val="en-US" w:eastAsia="zh-CN"/>
              </w:rPr>
              <w:t>主体</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629" w:type="dxa"/>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561" w:type="dxa"/>
            <w:vMerge w:val="continue"/>
            <w:tcBorders>
              <w:top w:val="nil"/>
              <w:left w:val="single" w:color="000000" w:sz="6" w:space="0"/>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753" w:type="dxa"/>
            <w:vMerge w:val="continue"/>
            <w:tcBorders>
              <w:top w:val="nil"/>
              <w:left w:val="single" w:color="000000" w:sz="6" w:space="0"/>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临时挡防</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3"/>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w w:val="99"/>
                <w:sz w:val="21"/>
                <w:szCs w:val="21"/>
                <w:lang w:val="en-US" w:eastAsia="zh-CN"/>
              </w:rPr>
              <w:t>/</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w w:val="99"/>
                <w:sz w:val="21"/>
                <w:szCs w:val="21"/>
                <w:lang w:val="en-US" w:eastAsia="zh-CN"/>
              </w:rPr>
              <w:t>/</w:t>
            </w:r>
          </w:p>
        </w:tc>
        <w:tc>
          <w:tcPr>
            <w:tcW w:w="2878" w:type="dxa"/>
            <w:tcBorders>
              <w:top w:val="single" w:color="000000" w:sz="6" w:space="0"/>
              <w:left w:val="single" w:color="000000" w:sz="6" w:space="0"/>
              <w:bottom w:val="single" w:color="000000" w:sz="6" w:space="0"/>
            </w:tcBorders>
            <w:vAlign w:val="center"/>
          </w:tcPr>
          <w:p>
            <w:pPr>
              <w:pStyle w:val="23"/>
              <w:spacing w:before="11" w:line="240" w:lineRule="auto"/>
              <w:ind w:left="3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计入主体工程</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1" w:hRule="atLeast"/>
          <w:jc w:val="center"/>
        </w:trPr>
        <w:tc>
          <w:tcPr>
            <w:tcW w:w="1190" w:type="dxa"/>
            <w:gridSpan w:val="2"/>
            <w:vMerge w:val="restart"/>
            <w:tcBorders>
              <w:top w:val="single" w:color="000000" w:sz="6" w:space="0"/>
              <w:right w:val="single" w:color="000000" w:sz="6" w:space="0"/>
            </w:tcBorders>
            <w:vAlign w:val="center"/>
          </w:tcPr>
          <w:p>
            <w:pPr>
              <w:pStyle w:val="23"/>
              <w:spacing w:before="1" w:line="240" w:lineRule="auto"/>
              <w:ind w:left="4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噪声防治</w:t>
            </w:r>
          </w:p>
        </w:tc>
        <w:tc>
          <w:tcPr>
            <w:tcW w:w="753" w:type="dxa"/>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噪声防护措施（打围等）</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878" w:type="dxa"/>
            <w:tcBorders>
              <w:top w:val="single" w:color="000000" w:sz="6" w:space="0"/>
              <w:left w:val="single" w:color="000000" w:sz="6" w:space="0"/>
              <w:bottom w:val="single" w:color="000000" w:sz="6" w:space="0"/>
            </w:tcBorders>
            <w:vAlign w:val="center"/>
          </w:tcPr>
          <w:p>
            <w:pPr>
              <w:pStyle w:val="23"/>
              <w:spacing w:before="11" w:line="240" w:lineRule="auto"/>
              <w:ind w:left="3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类比估列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26" w:hRule="atLeast"/>
          <w:jc w:val="center"/>
        </w:trPr>
        <w:tc>
          <w:tcPr>
            <w:tcW w:w="1190" w:type="dxa"/>
            <w:gridSpan w:val="2"/>
            <w:vMerge w:val="continue"/>
            <w:tcBorders>
              <w:top w:val="nil"/>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753" w:type="dxa"/>
            <w:vMerge w:val="restart"/>
            <w:tcBorders>
              <w:top w:val="single" w:color="000000" w:sz="6" w:space="0"/>
              <w:left w:val="single" w:color="000000" w:sz="6" w:space="0"/>
              <w:bottom w:val="single" w:color="000000" w:sz="6" w:space="0"/>
              <w:right w:val="single" w:color="000000" w:sz="6" w:space="0"/>
            </w:tcBorders>
            <w:vAlign w:val="center"/>
          </w:tcPr>
          <w:p>
            <w:pPr>
              <w:pStyle w:val="23"/>
              <w:tabs>
                <w:tab w:val="left" w:pos="419"/>
              </w:tabs>
              <w:spacing w:before="6" w:line="240" w:lineRule="auto"/>
              <w:ind w:left="35" w:right="-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运</w:t>
            </w:r>
            <w:r>
              <w:rPr>
                <w:rFonts w:hint="default" w:ascii="Times New Roman" w:hAnsi="Times New Roman" w:eastAsia="宋体" w:cs="Times New Roman"/>
                <w:spacing w:val="12"/>
                <w:sz w:val="21"/>
                <w:szCs w:val="21"/>
              </w:rPr>
              <w:t>近</w:t>
            </w:r>
            <w:r>
              <w:rPr>
                <w:rFonts w:hint="eastAsia" w:ascii="Times New Roman" w:hAnsi="Times New Roman" w:eastAsia="宋体" w:cs="Times New Roman"/>
                <w:spacing w:val="12"/>
                <w:sz w:val="21"/>
                <w:szCs w:val="21"/>
                <w:lang w:eastAsia="zh-CN"/>
              </w:rPr>
              <w:t>、</w:t>
            </w:r>
            <w:r>
              <w:rPr>
                <w:rFonts w:hint="default" w:ascii="Times New Roman" w:hAnsi="Times New Roman" w:eastAsia="宋体" w:cs="Times New Roman"/>
                <w:sz w:val="21"/>
                <w:szCs w:val="21"/>
              </w:rPr>
              <w:t>中</w:t>
            </w:r>
          </w:p>
          <w:p>
            <w:pPr>
              <w:pStyle w:val="23"/>
              <w:spacing w:before="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期</w:t>
            </w: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6"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声屏障</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8" w:line="240" w:lineRule="auto"/>
              <w:ind w:left="33"/>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213</w:t>
            </w:r>
            <w:r>
              <w:rPr>
                <w:rFonts w:hint="default" w:ascii="Times New Roman" w:hAnsi="Times New Roman" w:cs="Times New Roman"/>
                <w:sz w:val="21"/>
                <w:szCs w:val="21"/>
              </w:rPr>
              <w:t>m</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8"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2878" w:type="dxa"/>
            <w:tcBorders>
              <w:top w:val="single" w:color="000000" w:sz="6" w:space="0"/>
              <w:left w:val="single" w:color="000000" w:sz="6" w:space="0"/>
              <w:bottom w:val="single" w:color="000000" w:sz="6" w:space="0"/>
            </w:tcBorders>
            <w:vAlign w:val="center"/>
          </w:tcPr>
          <w:p>
            <w:pPr>
              <w:pStyle w:val="23"/>
              <w:spacing w:before="6" w:line="240" w:lineRule="auto"/>
              <w:ind w:left="3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按 </w:t>
            </w:r>
            <w:r>
              <w:rPr>
                <w:rFonts w:hint="default" w:ascii="Times New Roman" w:hAnsi="Times New Roman" w:cs="Times New Roman"/>
                <w:sz w:val="21"/>
                <w:szCs w:val="21"/>
              </w:rPr>
              <w:t xml:space="preserve">900 </w:t>
            </w:r>
            <w:r>
              <w:rPr>
                <w:rFonts w:hint="default" w:ascii="Times New Roman" w:hAnsi="Times New Roman" w:eastAsia="宋体" w:cs="Times New Roman"/>
                <w:sz w:val="21"/>
                <w:szCs w:val="21"/>
              </w:rPr>
              <w:t>元</w:t>
            </w:r>
            <w:r>
              <w:rPr>
                <w:rFonts w:hint="default" w:ascii="Times New Roman" w:hAnsi="Times New Roman" w:cs="Times New Roman"/>
                <w:sz w:val="21"/>
                <w:szCs w:val="21"/>
              </w:rPr>
              <w:t>/m</w:t>
            </w:r>
            <w:r>
              <w:rPr>
                <w:rFonts w:hint="default" w:ascii="Times New Roman" w:hAnsi="Times New Roman" w:cs="Times New Roman"/>
                <w:position w:val="6"/>
                <w:sz w:val="21"/>
                <w:szCs w:val="21"/>
              </w:rPr>
              <w:t xml:space="preserve">2 </w:t>
            </w:r>
            <w:r>
              <w:rPr>
                <w:rFonts w:hint="default" w:ascii="Times New Roman" w:hAnsi="Times New Roman" w:eastAsia="宋体" w:cs="Times New Roman"/>
                <w:sz w:val="21"/>
                <w:szCs w:val="21"/>
              </w:rPr>
              <w:t>计列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0" w:hRule="atLeast"/>
          <w:jc w:val="center"/>
        </w:trPr>
        <w:tc>
          <w:tcPr>
            <w:tcW w:w="1190" w:type="dxa"/>
            <w:gridSpan w:val="2"/>
            <w:vMerge w:val="continue"/>
            <w:tcBorders>
              <w:top w:val="nil"/>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753" w:type="dxa"/>
            <w:vMerge w:val="continue"/>
            <w:tcBorders>
              <w:top w:val="nil"/>
              <w:left w:val="single" w:color="000000" w:sz="6" w:space="0"/>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117"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噪声跟踪监测费</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17"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w:t>
            </w:r>
            <w:r>
              <w:rPr>
                <w:rFonts w:hint="default" w:ascii="Times New Roman" w:hAnsi="Times New Roman" w:cs="Times New Roman"/>
                <w:sz w:val="21"/>
                <w:szCs w:val="21"/>
              </w:rPr>
              <w:t xml:space="preserve"> </w:t>
            </w:r>
            <w:r>
              <w:rPr>
                <w:rFonts w:hint="default" w:ascii="Times New Roman" w:hAnsi="Times New Roman" w:eastAsia="宋体" w:cs="Times New Roman"/>
                <w:sz w:val="21"/>
                <w:szCs w:val="21"/>
              </w:rPr>
              <w:t>处</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29"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2878" w:type="dxa"/>
            <w:tcBorders>
              <w:top w:val="single" w:color="000000" w:sz="6" w:space="0"/>
              <w:left w:val="single" w:color="000000" w:sz="6" w:space="0"/>
              <w:bottom w:val="single" w:color="000000" w:sz="6" w:space="0"/>
            </w:tcBorders>
            <w:vAlign w:val="center"/>
          </w:tcPr>
          <w:p>
            <w:pPr>
              <w:pStyle w:val="23"/>
              <w:spacing w:before="117" w:line="240" w:lineRule="auto"/>
              <w:ind w:left="3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按 </w:t>
            </w:r>
            <w:r>
              <w:rPr>
                <w:rFonts w:hint="default" w:ascii="Times New Roman" w:hAnsi="Times New Roman" w:cs="Times New Roman"/>
                <w:sz w:val="21"/>
                <w:szCs w:val="21"/>
              </w:rPr>
              <w:t xml:space="preserve">2 </w:t>
            </w:r>
            <w:r>
              <w:rPr>
                <w:rFonts w:hint="default" w:ascii="Times New Roman" w:hAnsi="Times New Roman" w:eastAsia="宋体" w:cs="Times New Roman"/>
                <w:sz w:val="21"/>
                <w:szCs w:val="21"/>
              </w:rPr>
              <w:t>万元每处计</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1" w:hRule="atLeast"/>
          <w:jc w:val="center"/>
        </w:trPr>
        <w:tc>
          <w:tcPr>
            <w:tcW w:w="1190" w:type="dxa"/>
            <w:gridSpan w:val="2"/>
            <w:vMerge w:val="continue"/>
            <w:tcBorders>
              <w:top w:val="nil"/>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right w:val="single" w:color="000000" w:sz="6" w:space="0"/>
            </w:tcBorders>
            <w:vAlign w:val="center"/>
          </w:tcPr>
          <w:p>
            <w:pPr>
              <w:pStyle w:val="23"/>
              <w:spacing w:before="4"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小计</w:t>
            </w:r>
          </w:p>
        </w:tc>
        <w:tc>
          <w:tcPr>
            <w:tcW w:w="785" w:type="dxa"/>
            <w:tcBorders>
              <w:top w:val="single" w:color="000000" w:sz="6" w:space="0"/>
              <w:left w:val="single" w:color="000000" w:sz="6" w:space="0"/>
              <w:right w:val="single" w:color="000000" w:sz="6" w:space="0"/>
            </w:tcBorders>
            <w:vAlign w:val="center"/>
          </w:tcPr>
          <w:p>
            <w:pPr>
              <w:pStyle w:val="23"/>
              <w:spacing w:line="240" w:lineRule="auto"/>
              <w:jc w:val="center"/>
              <w:rPr>
                <w:rFonts w:hint="default" w:ascii="Times New Roman" w:hAnsi="Times New Roman" w:cs="Times New Roman"/>
                <w:sz w:val="21"/>
                <w:szCs w:val="21"/>
              </w:rPr>
            </w:pPr>
          </w:p>
        </w:tc>
        <w:tc>
          <w:tcPr>
            <w:tcW w:w="890" w:type="dxa"/>
            <w:tcBorders>
              <w:top w:val="single" w:color="000000" w:sz="6" w:space="0"/>
              <w:left w:val="single" w:color="000000" w:sz="6" w:space="0"/>
              <w:right w:val="single" w:color="000000" w:sz="6" w:space="0"/>
            </w:tcBorders>
            <w:vAlign w:val="center"/>
          </w:tcPr>
          <w:p>
            <w:pPr>
              <w:pStyle w:val="23"/>
              <w:spacing w:before="16"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41.9</w:t>
            </w:r>
          </w:p>
        </w:tc>
        <w:tc>
          <w:tcPr>
            <w:tcW w:w="2878" w:type="dxa"/>
            <w:tcBorders>
              <w:top w:val="single" w:color="000000" w:sz="6" w:space="0"/>
              <w:left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7" w:hRule="atLeast"/>
          <w:jc w:val="center"/>
        </w:trPr>
        <w:tc>
          <w:tcPr>
            <w:tcW w:w="1190" w:type="dxa"/>
            <w:gridSpan w:val="2"/>
            <w:vMerge w:val="restart"/>
            <w:tcBorders>
              <w:top w:val="single" w:color="000000" w:sz="6" w:space="0"/>
              <w:bottom w:val="single" w:color="000000" w:sz="6" w:space="0"/>
              <w:right w:val="single" w:color="000000" w:sz="6" w:space="0"/>
            </w:tcBorders>
            <w:vAlign w:val="center"/>
          </w:tcPr>
          <w:p>
            <w:pPr>
              <w:pStyle w:val="23"/>
              <w:spacing w:line="240" w:lineRule="auto"/>
              <w:ind w:left="57" w:right="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地表水污染防治</w:t>
            </w:r>
          </w:p>
        </w:tc>
        <w:tc>
          <w:tcPr>
            <w:tcW w:w="753" w:type="dxa"/>
            <w:vMerge w:val="restart"/>
            <w:tcBorders>
              <w:top w:val="single" w:color="000000" w:sz="6" w:space="0"/>
              <w:left w:val="single" w:color="000000" w:sz="6" w:space="0"/>
              <w:bottom w:val="single" w:color="000000" w:sz="6" w:space="0"/>
              <w:right w:val="single" w:color="000000" w:sz="6" w:space="0"/>
            </w:tcBorders>
            <w:vAlign w:val="center"/>
          </w:tcPr>
          <w:p>
            <w:pPr>
              <w:pStyle w:val="23"/>
              <w:spacing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9"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施工场地临时隔油沉淀池</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9" w:line="240" w:lineRule="auto"/>
              <w:ind w:left="33"/>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2 </w:t>
            </w:r>
            <w:r>
              <w:rPr>
                <w:rFonts w:hint="default" w:ascii="Times New Roman" w:hAnsi="Times New Roman" w:eastAsia="宋体" w:cs="Times New Roman"/>
                <w:sz w:val="21"/>
                <w:szCs w:val="21"/>
              </w:rPr>
              <w:t>处</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1"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1</w:t>
            </w:r>
            <w:r>
              <w:rPr>
                <w:rFonts w:hint="default" w:ascii="Times New Roman" w:hAnsi="Times New Roman" w:eastAsia="宋体" w:cs="Times New Roman"/>
                <w:sz w:val="21"/>
                <w:szCs w:val="21"/>
                <w:lang w:val="en-US" w:eastAsia="zh-CN"/>
              </w:rPr>
              <w:t>0</w:t>
            </w:r>
          </w:p>
        </w:tc>
        <w:tc>
          <w:tcPr>
            <w:tcW w:w="2878" w:type="dxa"/>
            <w:tcBorders>
              <w:top w:val="single" w:color="000000" w:sz="6" w:space="0"/>
              <w:left w:val="single" w:color="000000" w:sz="6" w:space="0"/>
              <w:bottom w:val="single" w:color="000000" w:sz="6" w:space="0"/>
            </w:tcBorders>
            <w:vAlign w:val="center"/>
          </w:tcPr>
          <w:p>
            <w:pPr>
              <w:pStyle w:val="23"/>
              <w:spacing w:before="9"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按 </w:t>
            </w:r>
            <w:r>
              <w:rPr>
                <w:rFonts w:hint="default" w:ascii="Times New Roman" w:hAnsi="Times New Roman" w:cs="Times New Roman"/>
                <w:sz w:val="21"/>
                <w:szCs w:val="21"/>
              </w:rPr>
              <w:t xml:space="preserve">5 </w:t>
            </w:r>
            <w:r>
              <w:rPr>
                <w:rFonts w:hint="default" w:ascii="Times New Roman" w:hAnsi="Times New Roman" w:eastAsia="宋体" w:cs="Times New Roman"/>
                <w:sz w:val="21"/>
                <w:szCs w:val="21"/>
              </w:rPr>
              <w:t>万元</w:t>
            </w:r>
            <w:r>
              <w:rPr>
                <w:rFonts w:hint="default" w:ascii="Times New Roman" w:hAnsi="Times New Roman" w:cs="Times New Roman"/>
                <w:sz w:val="21"/>
                <w:szCs w:val="21"/>
              </w:rPr>
              <w:t>/</w:t>
            </w:r>
            <w:r>
              <w:rPr>
                <w:rFonts w:hint="default" w:ascii="Times New Roman" w:hAnsi="Times New Roman" w:eastAsia="宋体" w:cs="Times New Roman"/>
                <w:sz w:val="21"/>
                <w:szCs w:val="21"/>
              </w:rPr>
              <w:t>处计列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753" w:type="dxa"/>
            <w:vMerge w:val="continue"/>
            <w:tcBorders>
              <w:top w:val="nil"/>
              <w:left w:val="single" w:color="000000" w:sz="6" w:space="0"/>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14" w:line="240" w:lineRule="auto"/>
              <w:ind w:left="3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桥梁桩基施工沉淀池</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4" w:line="240" w:lineRule="auto"/>
              <w:ind w:left="33"/>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2 </w:t>
            </w:r>
            <w:r>
              <w:rPr>
                <w:rFonts w:hint="default" w:ascii="Times New Roman" w:hAnsi="Times New Roman" w:eastAsia="宋体" w:cs="Times New Roman"/>
                <w:sz w:val="21"/>
                <w:szCs w:val="21"/>
              </w:rPr>
              <w:t>处</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6"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4</w:t>
            </w:r>
          </w:p>
        </w:tc>
        <w:tc>
          <w:tcPr>
            <w:tcW w:w="2878" w:type="dxa"/>
            <w:tcBorders>
              <w:top w:val="single" w:color="000000" w:sz="6" w:space="0"/>
              <w:left w:val="single" w:color="000000" w:sz="6" w:space="0"/>
              <w:bottom w:val="single" w:color="000000" w:sz="6" w:space="0"/>
            </w:tcBorders>
            <w:vAlign w:val="center"/>
          </w:tcPr>
          <w:p>
            <w:pPr>
              <w:pStyle w:val="23"/>
              <w:spacing w:before="14"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按 </w:t>
            </w:r>
            <w:r>
              <w:rPr>
                <w:rFonts w:hint="default" w:ascii="Times New Roman" w:hAnsi="Times New Roman" w:cs="Times New Roman"/>
                <w:sz w:val="21"/>
                <w:szCs w:val="21"/>
              </w:rPr>
              <w:t xml:space="preserve">2 </w:t>
            </w:r>
            <w:r>
              <w:rPr>
                <w:rFonts w:hint="default" w:ascii="Times New Roman" w:hAnsi="Times New Roman" w:eastAsia="宋体" w:cs="Times New Roman"/>
                <w:sz w:val="21"/>
                <w:szCs w:val="21"/>
              </w:rPr>
              <w:t>万元</w:t>
            </w:r>
            <w:r>
              <w:rPr>
                <w:rFonts w:hint="default" w:ascii="Times New Roman" w:hAnsi="Times New Roman" w:cs="Times New Roman"/>
                <w:sz w:val="21"/>
                <w:szCs w:val="21"/>
              </w:rPr>
              <w:t>/</w:t>
            </w:r>
            <w:r>
              <w:rPr>
                <w:rFonts w:hint="default" w:ascii="Times New Roman" w:hAnsi="Times New Roman" w:eastAsia="宋体" w:cs="Times New Roman"/>
                <w:sz w:val="21"/>
                <w:szCs w:val="21"/>
              </w:rPr>
              <w:t>处计列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小计</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1190" w:type="dxa"/>
            <w:gridSpan w:val="2"/>
            <w:vMerge w:val="restart"/>
            <w:tcBorders>
              <w:top w:val="single" w:color="000000" w:sz="6" w:space="0"/>
              <w:bottom w:val="single" w:color="000000" w:sz="6" w:space="0"/>
              <w:right w:val="single" w:color="000000" w:sz="6" w:space="0"/>
            </w:tcBorders>
            <w:vAlign w:val="center"/>
          </w:tcPr>
          <w:p>
            <w:pPr>
              <w:pStyle w:val="23"/>
              <w:spacing w:line="240" w:lineRule="auto"/>
              <w:ind w:left="57" w:right="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环境空气污染防治</w:t>
            </w:r>
          </w:p>
        </w:tc>
        <w:tc>
          <w:tcPr>
            <w:tcW w:w="753" w:type="dxa"/>
            <w:vMerge w:val="restart"/>
            <w:tcBorders>
              <w:top w:val="single" w:color="000000" w:sz="6" w:space="0"/>
              <w:left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b/>
                <w:sz w:val="21"/>
                <w:szCs w:val="21"/>
              </w:rPr>
            </w:pPr>
          </w:p>
          <w:p>
            <w:pPr>
              <w:pStyle w:val="23"/>
              <w:spacing w:line="240" w:lineRule="auto"/>
              <w:jc w:val="center"/>
              <w:rPr>
                <w:rFonts w:hint="default" w:ascii="Times New Roman" w:hAnsi="Times New Roman" w:cs="Times New Roman"/>
                <w:b/>
                <w:sz w:val="21"/>
                <w:szCs w:val="21"/>
              </w:rPr>
            </w:pPr>
          </w:p>
          <w:p>
            <w:pPr>
              <w:pStyle w:val="23"/>
              <w:spacing w:before="5" w:line="240" w:lineRule="auto"/>
              <w:jc w:val="center"/>
              <w:rPr>
                <w:rFonts w:hint="default" w:ascii="Times New Roman" w:hAnsi="Times New Roman" w:cs="Times New Roman"/>
                <w:b/>
                <w:sz w:val="21"/>
                <w:szCs w:val="21"/>
              </w:rPr>
            </w:pPr>
          </w:p>
          <w:p>
            <w:pPr>
              <w:pStyle w:val="23"/>
              <w:spacing w:before="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10" w:line="240" w:lineRule="auto"/>
              <w:ind w:left="3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施工期洒水车进行洒水抑尘</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32" w:line="240" w:lineRule="auto"/>
              <w:ind w:left="33"/>
              <w:jc w:val="center"/>
              <w:rPr>
                <w:rFonts w:hint="default" w:ascii="Times New Roman" w:hAnsi="Times New Roman" w:eastAsia="宋体" w:cs="Times New Roman"/>
                <w:sz w:val="21"/>
                <w:szCs w:val="21"/>
              </w:rPr>
            </w:pPr>
            <w:r>
              <w:rPr>
                <w:rFonts w:hint="default" w:ascii="Times New Roman" w:hAnsi="Times New Roman" w:cs="Times New Roman"/>
                <w:sz w:val="21"/>
                <w:szCs w:val="21"/>
              </w:rPr>
              <w:t>1</w:t>
            </w:r>
            <w:r>
              <w:rPr>
                <w:rFonts w:hint="default" w:ascii="Times New Roman" w:hAnsi="Times New Roman" w:eastAsia="宋体" w:cs="Times New Roman"/>
                <w:sz w:val="21"/>
                <w:szCs w:val="21"/>
              </w:rPr>
              <w:t>台</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44" w:line="240" w:lineRule="auto"/>
              <w:ind w:left="35"/>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2878" w:type="dxa"/>
            <w:tcBorders>
              <w:top w:val="single" w:color="000000" w:sz="6" w:space="0"/>
              <w:left w:val="single" w:color="000000" w:sz="6" w:space="0"/>
              <w:bottom w:val="single" w:color="000000" w:sz="6" w:space="0"/>
            </w:tcBorders>
            <w:vAlign w:val="center"/>
          </w:tcPr>
          <w:p>
            <w:pPr>
              <w:pStyle w:val="23"/>
              <w:spacing w:before="132"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按 土建标段估列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753" w:type="dxa"/>
            <w:vMerge w:val="continue"/>
            <w:tcBorders>
              <w:top w:val="nil"/>
              <w:left w:val="single" w:color="000000" w:sz="6" w:space="0"/>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2" w:line="240" w:lineRule="auto"/>
              <w:ind w:left="36" w:right="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施工人员及施工区附近居民点大气污染防护</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43" w:line="240" w:lineRule="auto"/>
              <w:ind w:left="35"/>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878" w:type="dxa"/>
            <w:vMerge w:val="restart"/>
            <w:tcBorders>
              <w:top w:val="single" w:color="000000" w:sz="6" w:space="0"/>
              <w:left w:val="single" w:color="000000" w:sz="6" w:space="0"/>
              <w:bottom w:val="single" w:color="000000" w:sz="6" w:space="0"/>
            </w:tcBorders>
            <w:vAlign w:val="center"/>
          </w:tcPr>
          <w:p>
            <w:pPr>
              <w:pStyle w:val="23"/>
              <w:spacing w:before="155"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按施工组织设计计列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753" w:type="dxa"/>
            <w:vMerge w:val="continue"/>
            <w:tcBorders>
              <w:top w:val="nil"/>
              <w:left w:val="single" w:color="000000" w:sz="6" w:space="0"/>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加盖篷布</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3"/>
              <w:jc w:val="center"/>
              <w:rPr>
                <w:rFonts w:hint="default" w:ascii="Times New Roman" w:hAnsi="Times New Roman"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878" w:type="dxa"/>
            <w:vMerge w:val="continue"/>
            <w:tcBorders>
              <w:top w:val="nil"/>
              <w:left w:val="single" w:color="000000" w:sz="6" w:space="0"/>
              <w:bottom w:val="single" w:color="000000" w:sz="6" w:space="0"/>
            </w:tcBorders>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4"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小计</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6" w:line="240" w:lineRule="auto"/>
              <w:ind w:left="35"/>
              <w:jc w:val="center"/>
              <w:rPr>
                <w:rFonts w:hint="default" w:ascii="Times New Roman" w:hAnsi="Times New Roman" w:cs="Times New Roman"/>
                <w:sz w:val="21"/>
                <w:szCs w:val="21"/>
              </w:rPr>
            </w:pPr>
            <w:r>
              <w:rPr>
                <w:rFonts w:hint="default" w:ascii="Times New Roman" w:hAnsi="Times New Roman" w:cs="Times New Roman"/>
                <w:sz w:val="21"/>
                <w:szCs w:val="21"/>
              </w:rPr>
              <w:t>17</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1190" w:type="dxa"/>
            <w:gridSpan w:val="2"/>
            <w:vMerge w:val="restart"/>
            <w:tcBorders>
              <w:top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b/>
                <w:sz w:val="21"/>
                <w:szCs w:val="21"/>
              </w:rPr>
            </w:pPr>
          </w:p>
          <w:p>
            <w:pPr>
              <w:pStyle w:val="23"/>
              <w:spacing w:before="6" w:line="240" w:lineRule="auto"/>
              <w:jc w:val="center"/>
              <w:rPr>
                <w:rFonts w:hint="default" w:ascii="Times New Roman" w:hAnsi="Times New Roman" w:cs="Times New Roman"/>
                <w:b/>
                <w:sz w:val="21"/>
                <w:szCs w:val="21"/>
              </w:rPr>
            </w:pPr>
          </w:p>
          <w:p>
            <w:pPr>
              <w:pStyle w:val="23"/>
              <w:spacing w:line="240" w:lineRule="auto"/>
              <w:ind w:left="5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753" w:type="dxa"/>
            <w:tcBorders>
              <w:top w:val="single" w:color="000000" w:sz="6" w:space="0"/>
              <w:left w:val="single" w:color="000000" w:sz="6" w:space="0"/>
              <w:bottom w:val="single" w:color="000000" w:sz="6" w:space="0"/>
              <w:right w:val="single" w:color="000000" w:sz="6" w:space="0"/>
            </w:tcBorders>
            <w:vAlign w:val="center"/>
          </w:tcPr>
          <w:p>
            <w:pPr>
              <w:pStyle w:val="23"/>
              <w:spacing w:before="131" w:line="240" w:lineRule="auto"/>
              <w:ind w:left="15" w:right="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2" w:line="240" w:lineRule="auto"/>
              <w:ind w:left="36" w:right="5"/>
              <w:jc w:val="center"/>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施工期设置临时垃圾桶</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31" w:line="240" w:lineRule="auto"/>
              <w:ind w:left="33"/>
              <w:jc w:val="center"/>
              <w:rPr>
                <w:rFonts w:hint="default" w:ascii="Times New Roman" w:hAnsi="Times New Roman" w:eastAsia="宋体"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43"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2878" w:type="dxa"/>
            <w:tcBorders>
              <w:top w:val="single" w:color="000000" w:sz="6" w:space="0"/>
              <w:left w:val="single" w:color="000000" w:sz="6" w:space="0"/>
              <w:bottom w:val="single" w:color="000000" w:sz="6" w:space="0"/>
            </w:tcBorders>
            <w:vAlign w:val="center"/>
          </w:tcPr>
          <w:p>
            <w:pPr>
              <w:pStyle w:val="23"/>
              <w:spacing w:before="2" w:line="240" w:lineRule="auto"/>
              <w:ind w:left="33" w:right="1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集中收集后统一运至附近垃圾处理场进行处理</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6"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753" w:type="dxa"/>
            <w:tcBorders>
              <w:top w:val="single" w:color="000000" w:sz="6" w:space="0"/>
              <w:left w:val="single" w:color="000000" w:sz="6" w:space="0"/>
              <w:bottom w:val="single" w:color="000000" w:sz="6" w:space="0"/>
              <w:right w:val="single" w:color="000000" w:sz="6" w:space="0"/>
            </w:tcBorders>
            <w:vAlign w:val="center"/>
          </w:tcPr>
          <w:p>
            <w:pPr>
              <w:pStyle w:val="23"/>
              <w:spacing w:before="129" w:line="240" w:lineRule="auto"/>
              <w:ind w:left="15" w:right="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w:t>
            </w:r>
          </w:p>
        </w:tc>
        <w:tc>
          <w:tcPr>
            <w:tcW w:w="3693" w:type="dxa"/>
            <w:tcBorders>
              <w:top w:val="single" w:color="000000" w:sz="6" w:space="0"/>
              <w:left w:val="single" w:color="000000" w:sz="6" w:space="0"/>
              <w:bottom w:val="single" w:color="000000" w:sz="6" w:space="0"/>
              <w:right w:val="single" w:color="000000" w:sz="6" w:space="0"/>
            </w:tcBorders>
            <w:vAlign w:val="center"/>
          </w:tcPr>
          <w:p>
            <w:pPr>
              <w:pStyle w:val="23"/>
              <w:spacing w:before="9" w:line="240" w:lineRule="auto"/>
              <w:ind w:left="3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设置垃圾桶收集</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29" w:line="240" w:lineRule="auto"/>
              <w:ind w:left="33"/>
              <w:jc w:val="center"/>
              <w:rPr>
                <w:rFonts w:hint="default" w:ascii="Times New Roman" w:hAnsi="Times New Roman" w:eastAsia="宋体"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41"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w:t>
            </w:r>
          </w:p>
        </w:tc>
        <w:tc>
          <w:tcPr>
            <w:tcW w:w="2878" w:type="dxa"/>
            <w:tcBorders>
              <w:top w:val="single" w:color="000000" w:sz="6" w:space="0"/>
              <w:left w:val="single" w:color="000000" w:sz="6" w:space="0"/>
              <w:bottom w:val="single" w:color="000000" w:sz="6" w:space="0"/>
            </w:tcBorders>
            <w:vAlign w:val="center"/>
          </w:tcPr>
          <w:p>
            <w:pPr>
              <w:pStyle w:val="23"/>
              <w:spacing w:before="9"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集中收集后统一运至附近垃圾处理场进行处理</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小计</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1190" w:type="dxa"/>
            <w:gridSpan w:val="2"/>
            <w:vMerge w:val="restart"/>
            <w:tcBorders>
              <w:top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b/>
                <w:sz w:val="21"/>
                <w:szCs w:val="21"/>
              </w:rPr>
            </w:pPr>
          </w:p>
          <w:p>
            <w:pPr>
              <w:pStyle w:val="23"/>
              <w:spacing w:line="240" w:lineRule="auto"/>
              <w:jc w:val="center"/>
              <w:rPr>
                <w:rFonts w:hint="default" w:ascii="Times New Roman" w:hAnsi="Times New Roman" w:cs="Times New Roman"/>
                <w:b/>
                <w:sz w:val="21"/>
                <w:szCs w:val="21"/>
              </w:rPr>
            </w:pPr>
          </w:p>
          <w:p>
            <w:pPr>
              <w:pStyle w:val="23"/>
              <w:spacing w:line="240" w:lineRule="auto"/>
              <w:jc w:val="center"/>
              <w:rPr>
                <w:rFonts w:hint="default" w:ascii="Times New Roman" w:hAnsi="Times New Roman" w:cs="Times New Roman"/>
                <w:b/>
                <w:sz w:val="21"/>
                <w:szCs w:val="21"/>
              </w:rPr>
            </w:pPr>
          </w:p>
          <w:p>
            <w:pPr>
              <w:pStyle w:val="23"/>
              <w:spacing w:before="6" w:line="240" w:lineRule="auto"/>
              <w:jc w:val="center"/>
              <w:rPr>
                <w:rFonts w:hint="default" w:ascii="Times New Roman" w:hAnsi="Times New Roman" w:cs="Times New Roman"/>
                <w:b/>
                <w:sz w:val="21"/>
                <w:szCs w:val="21"/>
              </w:rPr>
            </w:pPr>
          </w:p>
          <w:p>
            <w:pPr>
              <w:pStyle w:val="23"/>
              <w:spacing w:line="240" w:lineRule="auto"/>
              <w:ind w:left="57" w:right="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环境风险防范措施</w:t>
            </w: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4"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路面桥面径流收集系统</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4" w:line="240" w:lineRule="auto"/>
              <w:ind w:left="33"/>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15"/>
                <w:sz w:val="21"/>
                <w:szCs w:val="21"/>
              </w:rPr>
              <w:t xml:space="preserve">共计 </w:t>
            </w:r>
            <w:r>
              <w:rPr>
                <w:rFonts w:hint="default" w:ascii="Times New Roman" w:hAnsi="Times New Roman" w:eastAsia="宋体" w:cs="Times New Roman"/>
                <w:sz w:val="21"/>
                <w:szCs w:val="21"/>
                <w:lang w:val="en-US" w:eastAsia="zh-CN"/>
              </w:rPr>
              <w:t>2</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6"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0"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事故池</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sz w:val="21"/>
                <w:szCs w:val="21"/>
              </w:rPr>
            </w:pPr>
            <w:r>
              <w:rPr>
                <w:rFonts w:hint="default" w:ascii="Times New Roman" w:hAnsi="Times New Roman" w:eastAsia="宋体" w:cs="Times New Roman"/>
                <w:spacing w:val="-15"/>
                <w:sz w:val="21"/>
                <w:szCs w:val="21"/>
              </w:rPr>
              <w:t xml:space="preserve">共计 </w:t>
            </w:r>
            <w:r>
              <w:rPr>
                <w:rFonts w:hint="default" w:ascii="Times New Roman" w:hAnsi="Times New Roman" w:eastAsia="宋体" w:cs="Times New Roman"/>
                <w:sz w:val="21"/>
                <w:szCs w:val="21"/>
                <w:lang w:val="en-US" w:eastAsia="zh-CN"/>
              </w:rPr>
              <w:t>2</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43"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2" w:line="240" w:lineRule="auto"/>
              <w:ind w:left="35" w:right="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防撞墩</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限速警示标志，跨重要水体桥梁监控系统</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32" w:line="240" w:lineRule="auto"/>
              <w:ind w:left="33"/>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44"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w w:val="99"/>
                <w:sz w:val="21"/>
                <w:szCs w:val="21"/>
                <w:lang w:val="en-US" w:eastAsia="zh-CN"/>
              </w:rPr>
              <w:t>/</w:t>
            </w:r>
          </w:p>
        </w:tc>
        <w:tc>
          <w:tcPr>
            <w:tcW w:w="2878" w:type="dxa"/>
            <w:tcBorders>
              <w:top w:val="single" w:color="000000" w:sz="6" w:space="0"/>
              <w:left w:val="single" w:color="000000" w:sz="6" w:space="0"/>
              <w:bottom w:val="single" w:color="000000" w:sz="6" w:space="0"/>
            </w:tcBorders>
            <w:vAlign w:val="center"/>
          </w:tcPr>
          <w:p>
            <w:pPr>
              <w:pStyle w:val="23"/>
              <w:spacing w:before="132"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计入主体</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81"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4" w:line="240" w:lineRule="auto"/>
              <w:ind w:left="35" w:right="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危险品运输事故应急预案编制</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应急抢救设备和器材</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34"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146"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7"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9"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小计</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1"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190" w:type="dxa"/>
            <w:gridSpan w:val="2"/>
            <w:vMerge w:val="restart"/>
            <w:tcBorders>
              <w:top w:val="single" w:color="000000" w:sz="6" w:space="0"/>
              <w:bottom w:val="single" w:color="000000" w:sz="6" w:space="0"/>
              <w:right w:val="single" w:color="000000" w:sz="6" w:space="0"/>
            </w:tcBorders>
            <w:vAlign w:val="center"/>
          </w:tcPr>
          <w:p>
            <w:pPr>
              <w:pStyle w:val="23"/>
              <w:spacing w:before="146" w:line="240" w:lineRule="auto"/>
              <w:ind w:left="57" w:right="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环境监理和人员培训</w:t>
            </w: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人员培训</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1 </w:t>
            </w:r>
            <w:r>
              <w:rPr>
                <w:rFonts w:hint="default" w:ascii="Times New Roman" w:hAnsi="Times New Roman" w:eastAsia="宋体" w:cs="Times New Roman"/>
                <w:sz w:val="21"/>
                <w:szCs w:val="21"/>
              </w:rPr>
              <w:t>项</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c>
          <w:tcPr>
            <w:tcW w:w="2878" w:type="dxa"/>
            <w:tcBorders>
              <w:top w:val="single" w:color="000000" w:sz="6" w:space="0"/>
              <w:left w:val="single" w:color="000000" w:sz="6" w:space="0"/>
              <w:bottom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1 </w:t>
            </w:r>
            <w:r>
              <w:rPr>
                <w:rFonts w:hint="default" w:ascii="Times New Roman" w:hAnsi="Times New Roman" w:eastAsia="宋体" w:cs="Times New Roman"/>
                <w:sz w:val="21"/>
                <w:szCs w:val="21"/>
              </w:rPr>
              <w:t>万元</w:t>
            </w:r>
            <w:r>
              <w:rPr>
                <w:rFonts w:hint="default" w:ascii="Times New Roman" w:hAnsi="Times New Roman" w:cs="Times New Roman"/>
                <w:sz w:val="21"/>
                <w:szCs w:val="21"/>
              </w:rPr>
              <w:t>/</w:t>
            </w:r>
            <w:r>
              <w:rPr>
                <w:rFonts w:hint="default" w:ascii="Times New Roman" w:hAnsi="Times New Roman" w:eastAsia="宋体" w:cs="Times New Roman"/>
                <w:sz w:val="21"/>
                <w:szCs w:val="21"/>
              </w:rPr>
              <w:t>次类比估列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施工期环境监理</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2878" w:type="dxa"/>
            <w:tcBorders>
              <w:top w:val="single" w:color="000000" w:sz="6" w:space="0"/>
              <w:left w:val="single" w:color="000000" w:sz="6" w:space="0"/>
              <w:bottom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纳入工程监理费</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4"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小计</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6"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190" w:type="dxa"/>
            <w:gridSpan w:val="2"/>
            <w:vMerge w:val="restart"/>
            <w:tcBorders>
              <w:top w:val="single" w:color="000000" w:sz="6" w:space="0"/>
              <w:bottom w:val="single" w:color="000000" w:sz="6" w:space="0"/>
              <w:right w:val="single" w:color="000000" w:sz="6" w:space="0"/>
            </w:tcBorders>
            <w:vAlign w:val="center"/>
          </w:tcPr>
          <w:p>
            <w:pPr>
              <w:pStyle w:val="23"/>
              <w:spacing w:before="7" w:line="240" w:lineRule="auto"/>
              <w:jc w:val="center"/>
              <w:rPr>
                <w:rFonts w:hint="default" w:ascii="Times New Roman" w:hAnsi="Times New Roman" w:cs="Times New Roman"/>
                <w:b/>
                <w:sz w:val="21"/>
                <w:szCs w:val="21"/>
              </w:rPr>
            </w:pPr>
          </w:p>
          <w:p>
            <w:pPr>
              <w:pStyle w:val="23"/>
              <w:spacing w:line="240" w:lineRule="auto"/>
              <w:ind w:left="5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环境监测</w:t>
            </w: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施工期及试运营期环境监测</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6</w:t>
            </w:r>
          </w:p>
        </w:tc>
        <w:tc>
          <w:tcPr>
            <w:tcW w:w="2878" w:type="dxa"/>
            <w:tcBorders>
              <w:top w:val="single" w:color="000000" w:sz="6" w:space="0"/>
              <w:left w:val="single" w:color="000000" w:sz="6" w:space="0"/>
              <w:bottom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类比估算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营运期环境监测</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5.0 </w:t>
            </w:r>
            <w:r>
              <w:rPr>
                <w:rFonts w:hint="default" w:ascii="Times New Roman" w:hAnsi="Times New Roman" w:eastAsia="宋体" w:cs="Times New Roman"/>
                <w:sz w:val="21"/>
                <w:szCs w:val="21"/>
              </w:rPr>
              <w:t>年</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c>
          <w:tcPr>
            <w:tcW w:w="2878" w:type="dxa"/>
            <w:tcBorders>
              <w:top w:val="single" w:color="000000" w:sz="6" w:space="0"/>
              <w:left w:val="single" w:color="000000" w:sz="6" w:space="0"/>
              <w:bottom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类比估算，</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万元</w:t>
            </w:r>
            <w:r>
              <w:rPr>
                <w:rFonts w:hint="default" w:ascii="Times New Roman" w:hAnsi="Times New Roman" w:cs="Times New Roman"/>
                <w:sz w:val="21"/>
                <w:szCs w:val="21"/>
              </w:rPr>
              <w:t>/</w:t>
            </w:r>
            <w:r>
              <w:rPr>
                <w:rFonts w:hint="default" w:ascii="Times New Roman" w:hAnsi="Times New Roman" w:eastAsia="宋体" w:cs="Times New Roman"/>
                <w:sz w:val="21"/>
                <w:szCs w:val="21"/>
              </w:rPr>
              <w:t>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1190" w:type="dxa"/>
            <w:gridSpan w:val="2"/>
            <w:vMerge w:val="continue"/>
            <w:tcBorders>
              <w:top w:val="nil"/>
              <w:bottom w:val="single" w:color="000000" w:sz="6" w:space="0"/>
              <w:right w:val="single" w:color="000000" w:sz="6" w:space="0"/>
            </w:tcBorders>
            <w:vAlign w:val="center"/>
          </w:tcPr>
          <w:p>
            <w:pPr>
              <w:spacing w:line="240" w:lineRule="auto"/>
              <w:jc w:val="center"/>
              <w:rPr>
                <w:rFonts w:hint="default" w:ascii="Times New Roman" w:hAnsi="Times New Roman" w:cs="Times New Roman"/>
                <w:sz w:val="21"/>
                <w:szCs w:val="21"/>
              </w:rPr>
            </w:pP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47"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小计</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line="240" w:lineRule="auto"/>
              <w:jc w:val="center"/>
              <w:rPr>
                <w:rFonts w:hint="default" w:ascii="Times New Roman" w:hAnsi="Times New Roman" w:cs="Times New Roman"/>
                <w:sz w:val="21"/>
                <w:szCs w:val="21"/>
              </w:rPr>
            </w:pP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52" w:line="240" w:lineRule="auto"/>
              <w:ind w:left="3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190" w:type="dxa"/>
            <w:gridSpan w:val="2"/>
            <w:tcBorders>
              <w:top w:val="single" w:color="000000" w:sz="6" w:space="0"/>
              <w:bottom w:val="single" w:color="000000" w:sz="6" w:space="0"/>
              <w:right w:val="single" w:color="000000" w:sz="6" w:space="0"/>
            </w:tcBorders>
            <w:vAlign w:val="center"/>
          </w:tcPr>
          <w:p>
            <w:pPr>
              <w:pStyle w:val="23"/>
              <w:spacing w:before="11" w:line="240" w:lineRule="auto"/>
              <w:ind w:left="5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环保验收</w:t>
            </w: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1"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环保验收</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3"/>
              <w:jc w:val="center"/>
              <w:rPr>
                <w:rFonts w:hint="default" w:ascii="Times New Roman" w:hAnsi="Times New Roman" w:cs="Times New Roman"/>
                <w:sz w:val="21"/>
                <w:szCs w:val="21"/>
              </w:rPr>
            </w:pPr>
            <w:r>
              <w:rPr>
                <w:rFonts w:hint="default" w:ascii="Times New Roman" w:hAnsi="Times New Roman" w:cs="Times New Roman"/>
                <w:w w:val="99"/>
                <w:sz w:val="21"/>
                <w:szCs w:val="21"/>
              </w:rPr>
              <w:t>-</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3" w:line="240" w:lineRule="auto"/>
              <w:ind w:left="35"/>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1</w:t>
            </w:r>
            <w:r>
              <w:rPr>
                <w:rFonts w:hint="default" w:ascii="Times New Roman" w:hAnsi="Times New Roman" w:eastAsia="宋体" w:cs="Times New Roman"/>
                <w:sz w:val="21"/>
                <w:szCs w:val="21"/>
                <w:lang w:val="en-US" w:eastAsia="zh-CN"/>
              </w:rPr>
              <w:t>0</w:t>
            </w:r>
          </w:p>
        </w:tc>
        <w:tc>
          <w:tcPr>
            <w:tcW w:w="2878" w:type="dxa"/>
            <w:tcBorders>
              <w:top w:val="single" w:color="000000" w:sz="6" w:space="0"/>
              <w:left w:val="single" w:color="000000" w:sz="6" w:space="0"/>
              <w:bottom w:val="single" w:color="000000" w:sz="6" w:space="0"/>
            </w:tcBorders>
            <w:vAlign w:val="center"/>
          </w:tcPr>
          <w:p>
            <w:pPr>
              <w:pStyle w:val="23"/>
              <w:spacing w:before="11" w:line="240" w:lineRule="auto"/>
              <w:ind w:left="3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类比估算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1190" w:type="dxa"/>
            <w:gridSpan w:val="2"/>
            <w:tcBorders>
              <w:top w:val="single" w:color="000000" w:sz="6" w:space="0"/>
              <w:bottom w:val="single" w:color="000000" w:sz="6" w:space="0"/>
              <w:right w:val="single" w:color="000000" w:sz="6" w:space="0"/>
            </w:tcBorders>
            <w:vAlign w:val="center"/>
          </w:tcPr>
          <w:p>
            <w:pPr>
              <w:pStyle w:val="23"/>
              <w:spacing w:before="14" w:line="240" w:lineRule="auto"/>
              <w:ind w:left="5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后评价</w:t>
            </w:r>
          </w:p>
        </w:tc>
        <w:tc>
          <w:tcPr>
            <w:tcW w:w="4446" w:type="dxa"/>
            <w:gridSpan w:val="2"/>
            <w:tcBorders>
              <w:top w:val="single" w:color="000000" w:sz="6" w:space="0"/>
              <w:left w:val="single" w:color="000000" w:sz="6" w:space="0"/>
              <w:bottom w:val="single" w:color="000000" w:sz="6" w:space="0"/>
              <w:right w:val="single" w:color="000000" w:sz="6" w:space="0"/>
            </w:tcBorders>
            <w:vAlign w:val="center"/>
          </w:tcPr>
          <w:p>
            <w:pPr>
              <w:pStyle w:val="23"/>
              <w:spacing w:before="14" w:line="240" w:lineRule="auto"/>
              <w:ind w:left="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环境影响后评价费用</w:t>
            </w:r>
          </w:p>
        </w:tc>
        <w:tc>
          <w:tcPr>
            <w:tcW w:w="785" w:type="dxa"/>
            <w:tcBorders>
              <w:top w:val="single" w:color="000000" w:sz="6" w:space="0"/>
              <w:left w:val="single" w:color="000000" w:sz="6" w:space="0"/>
              <w:bottom w:val="single" w:color="000000" w:sz="6" w:space="0"/>
              <w:right w:val="single" w:color="000000" w:sz="6" w:space="0"/>
            </w:tcBorders>
            <w:vAlign w:val="center"/>
          </w:tcPr>
          <w:p>
            <w:pPr>
              <w:pStyle w:val="23"/>
              <w:spacing w:before="14" w:line="240" w:lineRule="auto"/>
              <w:ind w:left="33"/>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1 </w:t>
            </w:r>
            <w:r>
              <w:rPr>
                <w:rFonts w:hint="default" w:ascii="Times New Roman" w:hAnsi="Times New Roman" w:eastAsia="宋体" w:cs="Times New Roman"/>
                <w:sz w:val="21"/>
                <w:szCs w:val="21"/>
              </w:rPr>
              <w:t>项</w:t>
            </w:r>
          </w:p>
        </w:tc>
        <w:tc>
          <w:tcPr>
            <w:tcW w:w="890" w:type="dxa"/>
            <w:tcBorders>
              <w:top w:val="single" w:color="000000" w:sz="6" w:space="0"/>
              <w:left w:val="single" w:color="000000" w:sz="6" w:space="0"/>
              <w:bottom w:val="single" w:color="000000" w:sz="6" w:space="0"/>
              <w:right w:val="single" w:color="000000" w:sz="6" w:space="0"/>
            </w:tcBorders>
            <w:vAlign w:val="center"/>
          </w:tcPr>
          <w:p>
            <w:pPr>
              <w:pStyle w:val="23"/>
              <w:spacing w:before="26" w:line="240" w:lineRule="auto"/>
              <w:ind w:left="35"/>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2878" w:type="dxa"/>
            <w:tcBorders>
              <w:top w:val="single" w:color="000000" w:sz="6" w:space="0"/>
              <w:left w:val="single" w:color="000000" w:sz="6" w:space="0"/>
              <w:bottom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5636" w:type="dxa"/>
            <w:gridSpan w:val="4"/>
            <w:tcBorders>
              <w:top w:val="single" w:color="000000" w:sz="6" w:space="0"/>
              <w:right w:val="single" w:color="000000" w:sz="6" w:space="0"/>
            </w:tcBorders>
            <w:vAlign w:val="center"/>
          </w:tcPr>
          <w:p>
            <w:pPr>
              <w:pStyle w:val="23"/>
              <w:spacing w:before="11" w:line="240" w:lineRule="auto"/>
              <w:ind w:left="5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环境保护投资总计</w:t>
            </w:r>
          </w:p>
        </w:tc>
        <w:tc>
          <w:tcPr>
            <w:tcW w:w="1675" w:type="dxa"/>
            <w:gridSpan w:val="2"/>
            <w:tcBorders>
              <w:top w:val="single" w:color="000000" w:sz="6" w:space="0"/>
              <w:left w:val="single" w:color="000000" w:sz="6" w:space="0"/>
              <w:right w:val="single" w:color="000000" w:sz="6" w:space="0"/>
            </w:tcBorders>
            <w:vAlign w:val="center"/>
          </w:tcPr>
          <w:p>
            <w:pPr>
              <w:pStyle w:val="23"/>
              <w:spacing w:before="23" w:line="240" w:lineRule="auto"/>
              <w:ind w:left="453"/>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127.7</w:t>
            </w:r>
          </w:p>
        </w:tc>
        <w:tc>
          <w:tcPr>
            <w:tcW w:w="2878" w:type="dxa"/>
            <w:tcBorders>
              <w:top w:val="single" w:color="000000" w:sz="6" w:space="0"/>
              <w:left w:val="single" w:color="000000" w:sz="6" w:space="0"/>
            </w:tcBorders>
            <w:vAlign w:val="center"/>
          </w:tcPr>
          <w:p>
            <w:pPr>
              <w:pStyle w:val="23"/>
              <w:spacing w:line="240" w:lineRule="auto"/>
              <w:jc w:val="center"/>
              <w:rPr>
                <w:rFonts w:hint="default" w:ascii="Times New Roman" w:hAnsi="Times New Roman" w:cs="Times New Roman"/>
                <w:sz w:val="21"/>
                <w:szCs w:val="21"/>
              </w:rPr>
            </w:pPr>
          </w:p>
        </w:tc>
      </w:tr>
    </w:tbl>
    <w:p>
      <w:pPr>
        <w:pStyle w:val="2"/>
        <w:spacing w:before="1" w:line="374" w:lineRule="auto"/>
        <w:ind w:left="920" w:right="823" w:firstLine="479"/>
        <w:rPr>
          <w:rFonts w:hint="default" w:ascii="Times New Roman" w:hAnsi="Times New Roman" w:eastAsia="宋体" w:cs="Times New Roman"/>
          <w:b w:val="0"/>
          <w:bCs w:val="0"/>
          <w:sz w:val="24"/>
          <w:szCs w:val="24"/>
          <w:lang w:val="en-US" w:eastAsia="zh-CN" w:bidi="zh-CN"/>
        </w:rPr>
      </w:pPr>
    </w:p>
    <w:p>
      <w:pPr>
        <w:pStyle w:val="4"/>
        <w:bidi w:val="0"/>
        <w:rPr>
          <w:rFonts w:hint="default"/>
          <w:lang w:val="en-US" w:eastAsia="zh-CN"/>
        </w:rPr>
      </w:pPr>
      <w:bookmarkStart w:id="137" w:name="_Toc6925"/>
      <w:r>
        <w:rPr>
          <w:rFonts w:hint="default"/>
          <w:lang w:val="en-US" w:eastAsia="zh-CN"/>
        </w:rPr>
        <w:t>6.2.环保设施年运行维修费用</w:t>
      </w:r>
      <w:bookmarkEnd w:id="137"/>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项目营运期常规环保工作所需的费用见下表所示。</w:t>
      </w:r>
    </w:p>
    <w:p>
      <w:pPr>
        <w:tabs>
          <w:tab w:val="left" w:pos="913"/>
          <w:tab w:val="left" w:pos="3023"/>
        </w:tabs>
        <w:spacing w:before="78" w:after="28"/>
        <w:ind w:left="1" w:right="0" w:firstLine="0"/>
        <w:jc w:val="center"/>
        <w:rPr>
          <w:rFonts w:hint="default" w:ascii="Times New Roman" w:hAnsi="Times New Roman" w:eastAsia="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6.</w:t>
      </w:r>
      <w:r>
        <w:rPr>
          <w:rFonts w:hint="default" w:ascii="Times New Roman" w:hAnsi="Times New Roman" w:eastAsia="宋体" w:cs="Times New Roman"/>
          <w:b/>
          <w:sz w:val="21"/>
          <w:lang w:val="en-US" w:eastAsia="zh-CN"/>
        </w:rPr>
        <w:t>2-1</w:t>
      </w:r>
      <w:r>
        <w:rPr>
          <w:rFonts w:hint="default" w:ascii="Times New Roman" w:hAnsi="Times New Roman" w:eastAsia="Times New Roman" w:cs="Times New Roman"/>
          <w:b/>
          <w:sz w:val="21"/>
        </w:rPr>
        <w:tab/>
      </w:r>
      <w:r>
        <w:rPr>
          <w:rFonts w:hint="default" w:ascii="Times New Roman" w:hAnsi="Times New Roman" w:cs="Times New Roman"/>
          <w:b/>
          <w:sz w:val="21"/>
        </w:rPr>
        <w:t>环保设施年运</w:t>
      </w:r>
      <w:r>
        <w:rPr>
          <w:rFonts w:hint="default" w:ascii="Times New Roman" w:hAnsi="Times New Roman" w:cs="Times New Roman"/>
          <w:b/>
          <w:spacing w:val="-3"/>
          <w:sz w:val="21"/>
        </w:rPr>
        <w:t>行</w:t>
      </w:r>
      <w:r>
        <w:rPr>
          <w:rFonts w:hint="default" w:ascii="Times New Roman" w:hAnsi="Times New Roman" w:cs="Times New Roman"/>
          <w:b/>
          <w:sz w:val="21"/>
        </w:rPr>
        <w:t>费用</w:t>
      </w:r>
      <w:r>
        <w:rPr>
          <w:rFonts w:hint="default" w:ascii="Times New Roman" w:hAnsi="Times New Roman" w:cs="Times New Roman"/>
          <w:b/>
          <w:sz w:val="21"/>
        </w:rPr>
        <w:tab/>
      </w:r>
      <w:r>
        <w:rPr>
          <w:rFonts w:hint="default" w:ascii="Times New Roman" w:hAnsi="Times New Roman" w:cs="Times New Roman"/>
          <w:b/>
          <w:sz w:val="21"/>
        </w:rPr>
        <w:t>人民币：万元</w:t>
      </w:r>
      <w:r>
        <w:rPr>
          <w:rFonts w:hint="default" w:ascii="Times New Roman" w:hAnsi="Times New Roman" w:eastAsia="Times New Roman" w:cs="Times New Roman"/>
          <w:b/>
          <w:sz w:val="21"/>
        </w:rPr>
        <w:t>/a</w:t>
      </w:r>
    </w:p>
    <w:tbl>
      <w:tblPr>
        <w:tblStyle w:val="17"/>
        <w:tblW w:w="4754"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084"/>
        <w:gridCol w:w="3630"/>
        <w:gridCol w:w="2075"/>
        <w:gridCol w:w="2265"/>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56" w:hRule="atLeast"/>
          <w:jc w:val="center"/>
        </w:trPr>
        <w:tc>
          <w:tcPr>
            <w:tcW w:w="1220" w:type="dxa"/>
            <w:tcBorders>
              <w:bottom w:val="single" w:color="000000" w:sz="4" w:space="0"/>
              <w:right w:val="single" w:color="000000" w:sz="4" w:space="0"/>
            </w:tcBorders>
            <w:vAlign w:val="center"/>
          </w:tcPr>
          <w:p>
            <w:pPr>
              <w:pStyle w:val="23"/>
              <w:spacing w:before="48" w:line="240" w:lineRule="auto"/>
              <w:ind w:left="13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4085" w:type="dxa"/>
            <w:tcBorders>
              <w:left w:val="single" w:color="000000" w:sz="4" w:space="0"/>
              <w:bottom w:val="single" w:color="000000" w:sz="4" w:space="0"/>
              <w:right w:val="single" w:color="000000" w:sz="4" w:space="0"/>
            </w:tcBorders>
            <w:vAlign w:val="center"/>
          </w:tcPr>
          <w:p>
            <w:pPr>
              <w:pStyle w:val="23"/>
              <w:tabs>
                <w:tab w:val="left" w:pos="643"/>
              </w:tabs>
              <w:spacing w:before="48" w:line="240" w:lineRule="auto"/>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目</w:t>
            </w:r>
          </w:p>
        </w:tc>
        <w:tc>
          <w:tcPr>
            <w:tcW w:w="2335" w:type="dxa"/>
            <w:tcBorders>
              <w:left w:val="single" w:color="000000" w:sz="4" w:space="0"/>
              <w:bottom w:val="single" w:color="000000" w:sz="4" w:space="0"/>
              <w:right w:val="single" w:color="000000" w:sz="4" w:space="0"/>
            </w:tcBorders>
            <w:vAlign w:val="center"/>
          </w:tcPr>
          <w:p>
            <w:pPr>
              <w:pStyle w:val="23"/>
              <w:tabs>
                <w:tab w:val="left" w:pos="540"/>
              </w:tabs>
              <w:spacing w:before="48" w:line="240" w:lineRule="auto"/>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用</w:t>
            </w:r>
          </w:p>
        </w:tc>
        <w:tc>
          <w:tcPr>
            <w:tcW w:w="2549" w:type="dxa"/>
            <w:tcBorders>
              <w:left w:val="single" w:color="000000" w:sz="4" w:space="0"/>
              <w:bottom w:val="single" w:color="000000" w:sz="4" w:space="0"/>
            </w:tcBorders>
            <w:vAlign w:val="center"/>
          </w:tcPr>
          <w:p>
            <w:pPr>
              <w:pStyle w:val="23"/>
              <w:tabs>
                <w:tab w:val="left" w:pos="643"/>
              </w:tabs>
              <w:spacing w:before="48" w:line="240" w:lineRule="auto"/>
              <w:ind w:left="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73" w:hRule="atLeast"/>
          <w:jc w:val="center"/>
        </w:trPr>
        <w:tc>
          <w:tcPr>
            <w:tcW w:w="1220" w:type="dxa"/>
            <w:tcBorders>
              <w:top w:val="single" w:color="000000" w:sz="4" w:space="0"/>
              <w:bottom w:val="single" w:color="000000" w:sz="4" w:space="0"/>
              <w:right w:val="single" w:color="000000" w:sz="4" w:space="0"/>
            </w:tcBorders>
            <w:vAlign w:val="center"/>
          </w:tcPr>
          <w:p>
            <w:pPr>
              <w:pStyle w:val="23"/>
              <w:spacing w:before="60" w:line="240" w:lineRule="auto"/>
              <w:ind w:left="136"/>
              <w:jc w:val="center"/>
              <w:rPr>
                <w:rFonts w:hint="default" w:ascii="Times New Roman" w:hAnsi="Times New Roman" w:cs="Times New Roman"/>
                <w:sz w:val="21"/>
                <w:szCs w:val="21"/>
              </w:rPr>
            </w:pPr>
            <w:r>
              <w:rPr>
                <w:rFonts w:hint="default" w:ascii="Times New Roman" w:hAnsi="Times New Roman" w:cs="Times New Roman"/>
                <w:w w:val="100"/>
                <w:sz w:val="21"/>
                <w:szCs w:val="21"/>
              </w:rPr>
              <w:t>1</w:t>
            </w:r>
          </w:p>
        </w:tc>
        <w:tc>
          <w:tcPr>
            <w:tcW w:w="4085" w:type="dxa"/>
            <w:tcBorders>
              <w:top w:val="single" w:color="000000" w:sz="4" w:space="0"/>
              <w:left w:val="single" w:color="000000" w:sz="4" w:space="0"/>
              <w:bottom w:val="single" w:color="000000" w:sz="4" w:space="0"/>
              <w:right w:val="single" w:color="000000" w:sz="4" w:space="0"/>
            </w:tcBorders>
            <w:vAlign w:val="center"/>
          </w:tcPr>
          <w:p>
            <w:pPr>
              <w:pStyle w:val="23"/>
              <w:spacing w:before="46" w:line="240" w:lineRule="auto"/>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污水处理运营</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维修</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管理</w:t>
            </w:r>
          </w:p>
        </w:tc>
        <w:tc>
          <w:tcPr>
            <w:tcW w:w="2335" w:type="dxa"/>
            <w:tcBorders>
              <w:top w:val="single" w:color="000000" w:sz="4" w:space="0"/>
              <w:left w:val="single" w:color="000000" w:sz="4" w:space="0"/>
              <w:bottom w:val="single" w:color="000000" w:sz="4" w:space="0"/>
              <w:right w:val="single" w:color="000000" w:sz="4" w:space="0"/>
            </w:tcBorders>
            <w:vAlign w:val="center"/>
          </w:tcPr>
          <w:p>
            <w:pPr>
              <w:pStyle w:val="23"/>
              <w:spacing w:before="60" w:line="240" w:lineRule="auto"/>
              <w:ind w:left="11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3</w:t>
            </w:r>
          </w:p>
        </w:tc>
        <w:tc>
          <w:tcPr>
            <w:tcW w:w="2549" w:type="dxa"/>
            <w:tcBorders>
              <w:top w:val="single" w:color="000000" w:sz="4" w:space="0"/>
              <w:left w:val="single" w:color="000000" w:sz="4" w:space="0"/>
              <w:bottom w:val="single" w:color="000000" w:sz="4"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73" w:hRule="atLeast"/>
          <w:jc w:val="center"/>
        </w:trPr>
        <w:tc>
          <w:tcPr>
            <w:tcW w:w="1220" w:type="dxa"/>
            <w:tcBorders>
              <w:top w:val="single" w:color="000000" w:sz="4" w:space="0"/>
              <w:bottom w:val="single" w:color="000000" w:sz="4" w:space="0"/>
              <w:right w:val="single" w:color="000000" w:sz="4" w:space="0"/>
            </w:tcBorders>
            <w:vAlign w:val="center"/>
          </w:tcPr>
          <w:p>
            <w:pPr>
              <w:pStyle w:val="23"/>
              <w:spacing w:before="60" w:line="240" w:lineRule="auto"/>
              <w:ind w:left="136"/>
              <w:jc w:val="center"/>
              <w:rPr>
                <w:rFonts w:hint="default" w:ascii="Times New Roman" w:hAnsi="Times New Roman" w:cs="Times New Roman"/>
                <w:sz w:val="21"/>
                <w:szCs w:val="21"/>
              </w:rPr>
            </w:pPr>
            <w:r>
              <w:rPr>
                <w:rFonts w:hint="default" w:ascii="Times New Roman" w:hAnsi="Times New Roman" w:cs="Times New Roman"/>
                <w:w w:val="100"/>
                <w:sz w:val="21"/>
                <w:szCs w:val="21"/>
              </w:rPr>
              <w:t>2</w:t>
            </w:r>
          </w:p>
        </w:tc>
        <w:tc>
          <w:tcPr>
            <w:tcW w:w="4085" w:type="dxa"/>
            <w:tcBorders>
              <w:top w:val="single" w:color="000000" w:sz="4" w:space="0"/>
              <w:left w:val="single" w:color="000000" w:sz="4" w:space="0"/>
              <w:bottom w:val="single" w:color="000000" w:sz="4" w:space="0"/>
              <w:right w:val="single" w:color="000000" w:sz="4" w:space="0"/>
            </w:tcBorders>
            <w:vAlign w:val="center"/>
          </w:tcPr>
          <w:p>
            <w:pPr>
              <w:pStyle w:val="23"/>
              <w:spacing w:before="46" w:line="240" w:lineRule="auto"/>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其他环保设施维修</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保养</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更新</w:t>
            </w:r>
          </w:p>
        </w:tc>
        <w:tc>
          <w:tcPr>
            <w:tcW w:w="2335" w:type="dxa"/>
            <w:tcBorders>
              <w:top w:val="single" w:color="000000" w:sz="4" w:space="0"/>
              <w:left w:val="single" w:color="000000" w:sz="4" w:space="0"/>
              <w:bottom w:val="single" w:color="000000" w:sz="4" w:space="0"/>
              <w:right w:val="single" w:color="000000" w:sz="4" w:space="0"/>
            </w:tcBorders>
            <w:vAlign w:val="center"/>
          </w:tcPr>
          <w:p>
            <w:pPr>
              <w:pStyle w:val="23"/>
              <w:spacing w:before="60" w:line="240" w:lineRule="auto"/>
              <w:ind w:left="11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c>
          <w:tcPr>
            <w:tcW w:w="2549" w:type="dxa"/>
            <w:tcBorders>
              <w:top w:val="single" w:color="000000" w:sz="4" w:space="0"/>
              <w:left w:val="single" w:color="000000" w:sz="4" w:space="0"/>
              <w:bottom w:val="single" w:color="000000" w:sz="4"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rPr>
          <w:trHeight w:val="275" w:hRule="atLeast"/>
          <w:jc w:val="center"/>
        </w:trPr>
        <w:tc>
          <w:tcPr>
            <w:tcW w:w="1220" w:type="dxa"/>
            <w:tcBorders>
              <w:top w:val="single" w:color="000000" w:sz="4" w:space="0"/>
              <w:bottom w:val="single" w:color="000000" w:sz="4" w:space="0"/>
              <w:right w:val="single" w:color="000000" w:sz="4" w:space="0"/>
            </w:tcBorders>
            <w:vAlign w:val="center"/>
          </w:tcPr>
          <w:p>
            <w:pPr>
              <w:pStyle w:val="23"/>
              <w:spacing w:before="60" w:line="240" w:lineRule="auto"/>
              <w:ind w:left="136"/>
              <w:jc w:val="center"/>
              <w:rPr>
                <w:rFonts w:hint="default" w:ascii="Times New Roman" w:hAnsi="Times New Roman" w:cs="Times New Roman"/>
                <w:sz w:val="21"/>
                <w:szCs w:val="21"/>
              </w:rPr>
            </w:pPr>
            <w:r>
              <w:rPr>
                <w:rFonts w:hint="default" w:ascii="Times New Roman" w:hAnsi="Times New Roman" w:cs="Times New Roman"/>
                <w:w w:val="100"/>
                <w:sz w:val="21"/>
                <w:szCs w:val="21"/>
              </w:rPr>
              <w:t>3</w:t>
            </w:r>
          </w:p>
        </w:tc>
        <w:tc>
          <w:tcPr>
            <w:tcW w:w="4085" w:type="dxa"/>
            <w:tcBorders>
              <w:top w:val="single" w:color="000000" w:sz="4" w:space="0"/>
              <w:left w:val="single" w:color="000000" w:sz="4" w:space="0"/>
              <w:bottom w:val="single" w:color="000000" w:sz="4" w:space="0"/>
              <w:right w:val="single" w:color="000000" w:sz="4" w:space="0"/>
            </w:tcBorders>
            <w:vAlign w:val="center"/>
          </w:tcPr>
          <w:p>
            <w:pPr>
              <w:pStyle w:val="23"/>
              <w:spacing w:before="46" w:line="240" w:lineRule="auto"/>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设施维护人员工资</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劳务费</w:t>
            </w:r>
          </w:p>
        </w:tc>
        <w:tc>
          <w:tcPr>
            <w:tcW w:w="2335" w:type="dxa"/>
            <w:tcBorders>
              <w:top w:val="single" w:color="000000" w:sz="4" w:space="0"/>
              <w:left w:val="single" w:color="000000" w:sz="4" w:space="0"/>
              <w:bottom w:val="single" w:color="000000" w:sz="4" w:space="0"/>
              <w:right w:val="single" w:color="000000" w:sz="4" w:space="0"/>
            </w:tcBorders>
            <w:vAlign w:val="center"/>
          </w:tcPr>
          <w:p>
            <w:pPr>
              <w:pStyle w:val="23"/>
              <w:spacing w:before="60" w:line="240" w:lineRule="auto"/>
              <w:ind w:left="11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4</w:t>
            </w:r>
          </w:p>
        </w:tc>
        <w:tc>
          <w:tcPr>
            <w:tcW w:w="2549" w:type="dxa"/>
            <w:tcBorders>
              <w:top w:val="single" w:color="000000" w:sz="4" w:space="0"/>
              <w:left w:val="single" w:color="000000" w:sz="4" w:space="0"/>
              <w:bottom w:val="single" w:color="000000" w:sz="4" w:space="0"/>
            </w:tcBorders>
            <w:vAlign w:val="center"/>
          </w:tcPr>
          <w:p>
            <w:pPr>
              <w:pStyle w:val="23"/>
              <w:spacing w:before="46" w:line="240" w:lineRule="auto"/>
              <w:ind w:left="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污水处理设施等</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rPr>
          <w:trHeight w:val="273" w:hRule="atLeast"/>
          <w:jc w:val="center"/>
        </w:trPr>
        <w:tc>
          <w:tcPr>
            <w:tcW w:w="1220" w:type="dxa"/>
            <w:tcBorders>
              <w:top w:val="single" w:color="000000" w:sz="4" w:space="0"/>
              <w:bottom w:val="single" w:color="000000" w:sz="4" w:space="0"/>
              <w:right w:val="single" w:color="000000" w:sz="4" w:space="0"/>
            </w:tcBorders>
            <w:vAlign w:val="center"/>
          </w:tcPr>
          <w:p>
            <w:pPr>
              <w:pStyle w:val="23"/>
              <w:spacing w:before="60" w:line="240" w:lineRule="auto"/>
              <w:ind w:left="136"/>
              <w:jc w:val="center"/>
              <w:rPr>
                <w:rFonts w:hint="default" w:ascii="Times New Roman" w:hAnsi="Times New Roman" w:cs="Times New Roman"/>
                <w:sz w:val="21"/>
                <w:szCs w:val="21"/>
              </w:rPr>
            </w:pPr>
            <w:r>
              <w:rPr>
                <w:rFonts w:hint="default" w:ascii="Times New Roman" w:hAnsi="Times New Roman" w:cs="Times New Roman"/>
                <w:w w:val="100"/>
                <w:sz w:val="21"/>
                <w:szCs w:val="21"/>
              </w:rPr>
              <w:t>4</w:t>
            </w:r>
          </w:p>
        </w:tc>
        <w:tc>
          <w:tcPr>
            <w:tcW w:w="4085" w:type="dxa"/>
            <w:tcBorders>
              <w:top w:val="single" w:color="000000" w:sz="4" w:space="0"/>
              <w:left w:val="single" w:color="000000" w:sz="4" w:space="0"/>
              <w:bottom w:val="single" w:color="000000" w:sz="4" w:space="0"/>
              <w:right w:val="single" w:color="000000" w:sz="4" w:space="0"/>
            </w:tcBorders>
            <w:vAlign w:val="center"/>
          </w:tcPr>
          <w:p>
            <w:pPr>
              <w:pStyle w:val="23"/>
              <w:spacing w:before="46" w:line="240" w:lineRule="auto"/>
              <w:ind w:lef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绿化维护</w:t>
            </w:r>
          </w:p>
        </w:tc>
        <w:tc>
          <w:tcPr>
            <w:tcW w:w="2335" w:type="dxa"/>
            <w:tcBorders>
              <w:top w:val="single" w:color="000000" w:sz="4" w:space="0"/>
              <w:left w:val="single" w:color="000000" w:sz="4" w:space="0"/>
              <w:bottom w:val="single" w:color="000000" w:sz="4" w:space="0"/>
              <w:right w:val="single" w:color="000000" w:sz="4" w:space="0"/>
            </w:tcBorders>
            <w:vAlign w:val="center"/>
          </w:tcPr>
          <w:p>
            <w:pPr>
              <w:pStyle w:val="23"/>
              <w:spacing w:before="60" w:line="240" w:lineRule="auto"/>
              <w:ind w:left="11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w:t>
            </w:r>
          </w:p>
        </w:tc>
        <w:tc>
          <w:tcPr>
            <w:tcW w:w="2549" w:type="dxa"/>
            <w:tcBorders>
              <w:top w:val="single" w:color="000000" w:sz="4" w:space="0"/>
              <w:left w:val="single" w:color="000000" w:sz="4" w:space="0"/>
              <w:bottom w:val="single" w:color="000000" w:sz="4" w:space="0"/>
            </w:tcBorders>
            <w:vAlign w:val="center"/>
          </w:tcPr>
          <w:p>
            <w:pPr>
              <w:pStyle w:val="23"/>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rPr>
          <w:trHeight w:val="275" w:hRule="atLeast"/>
          <w:jc w:val="center"/>
        </w:trPr>
        <w:tc>
          <w:tcPr>
            <w:tcW w:w="1220" w:type="dxa"/>
            <w:tcBorders>
              <w:top w:val="single" w:color="000000" w:sz="4" w:space="0"/>
              <w:right w:val="single" w:color="000000" w:sz="4" w:space="0"/>
            </w:tcBorders>
            <w:vAlign w:val="center"/>
          </w:tcPr>
          <w:p>
            <w:pPr>
              <w:pStyle w:val="23"/>
              <w:spacing w:before="46" w:line="240" w:lineRule="auto"/>
              <w:ind w:left="13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4085" w:type="dxa"/>
            <w:tcBorders>
              <w:top w:val="single" w:color="000000" w:sz="4" w:space="0"/>
              <w:left w:val="single" w:color="000000" w:sz="4" w:space="0"/>
              <w:right w:val="single" w:color="000000" w:sz="4" w:space="0"/>
            </w:tcBorders>
            <w:vAlign w:val="center"/>
          </w:tcPr>
          <w:p>
            <w:pPr>
              <w:pStyle w:val="23"/>
              <w:spacing w:line="240" w:lineRule="auto"/>
              <w:jc w:val="center"/>
              <w:rPr>
                <w:rFonts w:hint="default" w:ascii="Times New Roman" w:hAnsi="Times New Roman" w:cs="Times New Roman"/>
                <w:sz w:val="21"/>
                <w:szCs w:val="21"/>
              </w:rPr>
            </w:pPr>
          </w:p>
        </w:tc>
        <w:tc>
          <w:tcPr>
            <w:tcW w:w="2335" w:type="dxa"/>
            <w:tcBorders>
              <w:top w:val="single" w:color="000000" w:sz="4" w:space="0"/>
              <w:left w:val="single" w:color="000000" w:sz="4" w:space="0"/>
              <w:right w:val="single" w:color="000000" w:sz="4" w:space="0"/>
            </w:tcBorders>
            <w:vAlign w:val="center"/>
          </w:tcPr>
          <w:p>
            <w:pPr>
              <w:pStyle w:val="23"/>
              <w:spacing w:before="60" w:line="240" w:lineRule="auto"/>
              <w:ind w:left="117"/>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2549" w:type="dxa"/>
            <w:tcBorders>
              <w:top w:val="single" w:color="000000" w:sz="4" w:space="0"/>
              <w:left w:val="single" w:color="000000" w:sz="4" w:space="0"/>
            </w:tcBorders>
            <w:vAlign w:val="center"/>
          </w:tcPr>
          <w:p>
            <w:pPr>
              <w:pStyle w:val="23"/>
              <w:spacing w:line="240" w:lineRule="auto"/>
              <w:jc w:val="center"/>
              <w:rPr>
                <w:rFonts w:hint="default" w:ascii="Times New Roman" w:hAnsi="Times New Roman" w:cs="Times New Roman"/>
                <w:sz w:val="21"/>
                <w:szCs w:val="21"/>
              </w:rPr>
            </w:pPr>
          </w:p>
        </w:tc>
      </w:tr>
    </w:tbl>
    <w:p>
      <w:pPr>
        <w:bidi w:val="0"/>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3"/>
        <w:bidi w:val="0"/>
        <w:rPr>
          <w:rFonts w:hint="default"/>
          <w:lang w:val="en-US" w:eastAsia="zh-CN"/>
        </w:rPr>
      </w:pPr>
      <w:bookmarkStart w:id="138" w:name="_Toc24454"/>
      <w:r>
        <w:rPr>
          <w:rFonts w:hint="default"/>
          <w:lang w:val="en-US" w:eastAsia="zh-CN"/>
        </w:rPr>
        <w:t>7. 环境影响经济损益分析</w:t>
      </w:r>
      <w:bookmarkEnd w:id="138"/>
    </w:p>
    <w:p>
      <w:pPr>
        <w:pStyle w:val="4"/>
        <w:bidi w:val="0"/>
        <w:rPr>
          <w:rFonts w:hint="default"/>
          <w:lang w:val="en-US" w:eastAsia="zh-CN"/>
        </w:rPr>
      </w:pPr>
      <w:bookmarkStart w:id="139" w:name="_Toc12398"/>
      <w:r>
        <w:rPr>
          <w:rFonts w:hint="default"/>
          <w:lang w:val="en-US" w:eastAsia="zh-CN"/>
        </w:rPr>
        <w:t>7.1.项目带来的环境损失</w:t>
      </w:r>
      <w:bookmarkEnd w:id="139"/>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公路项目带来的环境损失主要表现在土地面积的减少</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土地资源利用形式的改变，以及项目永久占地和临时占地造成的生物量损失</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生态环境和其他环境的变化。</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1</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耕地面积减少</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公路永久占用的耕地将永久丧失农业生产功能，带来一定数量的经济损失，但公路占用耕地面积占沿线总耕地面积的比值很小， 因此项目建设不会给当地农业带来较大的损失。</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2</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土地资源利用形式的改变</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本公路除占用耕地外，还将占用一定面积的林地。施工结束后将对占用的临时占地进行绿化或复耕，但仍将占用相当面积的土地，引起区域土地利用格局的改变，项目建设引起的土地资源利用形式的改变是必然的。</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公路建成后，各种土地类型发生变化，公路占地造成林地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耕地面积减少，建筑面积</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主要是公路占地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增加。从环境保护的角度分析，这种土地资源利用形式的改变将造成原生态环境的切割和破坏。从土地利用经济价值的改变来看，公路建成后将促进沿线经济发展，公路建设占用的土地资源是增值的，但这种土地利用价值的提升是通过环境局部或暂时的损失换来的。</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3</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生物量</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农林业损失</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本项目工程建设将造成植被不可逆的破坏，造成生态系统的生物量损失。在施工过程中，将所占耕地耕作层土壤用于改善本区劣质地或其他土壤的改良，可以减少由于占用耕地带来的负面影响，不会造成农业生产的大量损失。</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项目临时占地包括施工期间便道的建设</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施工场地的设置</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堆渣</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生产生活区布置等。根据现场调查，在工程影响范围内，受工程影响的植被均属一般常见种，其生长范围广，适应性强，不存在因局部植被管理不慎而导致植物种群消失或灭绝。在公路施工结束后，对弃渣场</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施工场地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施工便道</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表土临时堆放场等进行植被恢复，种植大量灌草。</w:t>
      </w:r>
      <w:r>
        <w:rPr>
          <w:rFonts w:hint="default" w:ascii="Times New Roman" w:hAnsi="Times New Roman" w:cs="Times New Roman"/>
          <w:b w:val="0"/>
          <w:bCs/>
          <w:sz w:val="24"/>
          <w:szCs w:val="24"/>
          <w:lang w:val="en-US" w:eastAsia="zh-CN"/>
        </w:rPr>
        <w:t>通过</w:t>
      </w:r>
      <w:r>
        <w:rPr>
          <w:rFonts w:hint="default" w:ascii="Times New Roman" w:hAnsi="Times New Roman" w:cs="Times New Roman"/>
          <w:b w:val="0"/>
          <w:bCs/>
          <w:sz w:val="24"/>
          <w:szCs w:val="24"/>
          <w:lang w:val="en-US"/>
        </w:rPr>
        <w:t>采取绿化和复耕措施，本项目对沿线地区林业生产影响可以得到缓减。后期通过采取公路两侧绿化和对施工临时占地的恢复和补充，公路造成的植被和耕地损失可以在很大程度上得到补偿。</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4</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拆迁和安置损失</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居民房屋拆迁将给受影响者的正常生活习惯带来一定的影响，基础设施的拆迁还将在一段时间内影响该区域正常的生产</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生活。同时拆迁户在重新安置过程中，将要占用新的土地进行建房，将改变原有土地类型，对原有生态环境造成一定干扰。</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5</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环境空气</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声环境</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水环境影响损失</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工程施工期间和营运期均将造成公路沿线的环境空气和声环境影响。其中环境空气影响较小，声环境和水环境方面将给沿线部分居民带来一定的健康损失。</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6</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水环境风险事故</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按设计使用期限内发生跨河及沿河路段的危险品泄漏事故可能将影响到下游水体水质，并带来不同程度的间接损失。</w:t>
      </w:r>
    </w:p>
    <w:p>
      <w:pPr>
        <w:pStyle w:val="4"/>
        <w:bidi w:val="0"/>
        <w:rPr>
          <w:rFonts w:hint="default"/>
          <w:lang w:val="en-US" w:eastAsia="zh-CN"/>
        </w:rPr>
      </w:pPr>
      <w:bookmarkStart w:id="140" w:name="_Toc17646"/>
      <w:r>
        <w:rPr>
          <w:rFonts w:hint="default"/>
          <w:lang w:val="en-US" w:eastAsia="zh-CN"/>
        </w:rPr>
        <w:t>7.2.项目带来的环境效益</w:t>
      </w:r>
      <w:bookmarkEnd w:id="140"/>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eastAsia="zh-CN"/>
        </w:rPr>
        <w:t>1</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项目社会效益</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本项目的建设不仅有利于加强民族地区交通运输能力，缩小区域间经济差距，带动地方经济发展，也有利于沿线资源整合开发，进一步加快沿线农村劳动力向城镇转移和产业结构优化。同时，公路改善了地区投资环境，增强了对社会投资者吸引力，有效缩短了城乡时空距离，提高沿线居民抵抗自然灾害</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社会经济风险冲击能力，促进大中小城市和小城镇协调发展，以及区域间文化</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教育</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卫生事业的发展，改善民生，促进城乡一体化进程建设。</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本项目的选线充分考虑了对沿线城镇的影响和促进作用，推荐线路方案符合项目区重要城镇城市发展总体规划要求，与沿线乡镇的城市发展规划不冲突，尽量满足地方经济发展要求。</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bookmarkStart w:id="141" w:name="7.2.2 项目环境效益"/>
      <w:bookmarkEnd w:id="141"/>
      <w:bookmarkStart w:id="142" w:name="7.2.2 项目环境效益"/>
      <w:bookmarkEnd w:id="142"/>
      <w:r>
        <w:rPr>
          <w:rFonts w:hint="default" w:ascii="Times New Roman" w:hAnsi="Times New Roman" w:cs="Times New Roman"/>
          <w:b w:val="0"/>
          <w:bCs/>
          <w:sz w:val="24"/>
          <w:szCs w:val="24"/>
          <w:lang w:val="en-US" w:eastAsia="zh-CN"/>
        </w:rPr>
        <w:t>3</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项目环境效益</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公路建设对环境的影响复杂，涉及面广，有正面影响也有负面影响。公路施工及营运期间的噪声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扬尘</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水污染等对本区域环境质量产生影响，对道路沿线农作物</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植被有一定扰动，同时造成一定程度的水土流失。因此，公路建设需要采取必要的措施来减少这</w:t>
      </w:r>
      <w:r>
        <w:rPr>
          <w:rFonts w:hint="default" w:ascii="Times New Roman" w:hAnsi="Times New Roman" w:cs="Times New Roman"/>
          <w:b w:val="0"/>
          <w:bCs/>
          <w:sz w:val="24"/>
          <w:szCs w:val="24"/>
          <w:lang w:val="en-US" w:eastAsia="zh-CN"/>
        </w:rPr>
        <w:t>些</w:t>
      </w:r>
      <w:r>
        <w:rPr>
          <w:rFonts w:hint="default" w:ascii="Times New Roman" w:hAnsi="Times New Roman" w:cs="Times New Roman"/>
          <w:b w:val="0"/>
          <w:bCs/>
          <w:sz w:val="24"/>
          <w:szCs w:val="24"/>
          <w:lang w:val="en-US"/>
        </w:rPr>
        <w:t>不利影响，将其负面环境影响降到最低程度。环保措施主要是设计</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营运阶段的减缓社会影响的措施</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生态保护与恢复措施</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环境空气保护措施</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水污染防治措施</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水土保持措施</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噪声防治措施</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事故风险应急预案等，这些措施都将产生直接的环境效益和无形的经济价值。</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施工期沿线气</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水</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声环境污染防治措施：保证沿线居民正常的生活秩序，保持和恢复农田水利设施，减少水土流失和植被破坏，减轻对项目所在区域环境的不良影响。</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施工期沿线生态环境保护措施：防止本项目施工对沿线生态环境产生重大不利影响，同时在施工结束后，对生态影响进行恢复。</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道路绿化：保持水土，稳定路基，美化</w:t>
      </w:r>
      <w:r>
        <w:rPr>
          <w:rFonts w:hint="eastAsia" w:ascii="Times New Roman" w:hAnsi="Times New Roman" w:cs="Times New Roman"/>
          <w:b w:val="0"/>
          <w:bCs/>
          <w:sz w:val="24"/>
          <w:szCs w:val="24"/>
          <w:lang w:val="en-US" w:eastAsia="zh-CN"/>
        </w:rPr>
        <w:t>道路</w:t>
      </w:r>
      <w:r>
        <w:rPr>
          <w:rFonts w:hint="default" w:ascii="Times New Roman" w:hAnsi="Times New Roman" w:cs="Times New Roman"/>
          <w:b w:val="0"/>
          <w:bCs/>
          <w:sz w:val="24"/>
          <w:szCs w:val="24"/>
          <w:lang w:val="en-US"/>
        </w:rPr>
        <w:t>景观，改善区域生态环境和驾驶人员的视觉环境。</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营运期噪声治理：防止公路噪声对沿线环境敏感目标居民的干扰，保护居民生活环境，降低噪声污染引起的生理和心理类疾病的发生概率。</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营运期水环境保护和污染治理：保护地表水，维护其原有功能，保障地表水体不受污染，维护水生生态环境安全，降低疾病产生的概率。</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环境管理监控：掌握沿线区域环境状况，及时采取环保措施和应急措施，保持本地区环境质量的稳定，使社会</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经济和环境协调持续发展。</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项目的建设采用沥青路面，将</w:t>
      </w:r>
      <w:r>
        <w:rPr>
          <w:rFonts w:hint="eastAsia" w:ascii="Times New Roman" w:hAnsi="Times New Roman" w:cs="Times New Roman"/>
          <w:b w:val="0"/>
          <w:bCs/>
          <w:sz w:val="24"/>
          <w:szCs w:val="24"/>
          <w:lang w:val="en-US" w:eastAsia="zh-CN"/>
        </w:rPr>
        <w:t>减少</w:t>
      </w:r>
      <w:r>
        <w:rPr>
          <w:rFonts w:hint="default" w:ascii="Times New Roman" w:hAnsi="Times New Roman" w:cs="Times New Roman"/>
          <w:b w:val="0"/>
          <w:bCs/>
          <w:sz w:val="24"/>
          <w:szCs w:val="24"/>
          <w:lang w:val="en-US"/>
        </w:rPr>
        <w:t>噪声，路面扬尘以及对车辆轮胎的磨损。 公路建设给本地区国民经济的发展带来了显而易见的社会效益和经济效益，同时随着工程施工期和营运期环境保护措施的落实，将使短期内受破坏的生态环境得到最大限度的恢复和改善。</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rPr>
        <w:t>根据上述环保效益，以没有考虑环境保护和水土流失治理措施情况下的经济损失类型为前提，综合考虑环保措施减少的经济损失，并据此</w:t>
      </w:r>
      <w:r>
        <w:rPr>
          <w:rFonts w:hint="eastAsia" w:ascii="Times New Roman" w:hAnsi="Times New Roman" w:cs="Times New Roman"/>
          <w:b w:val="0"/>
          <w:bCs/>
          <w:sz w:val="24"/>
          <w:szCs w:val="24"/>
          <w:lang w:val="en-US" w:eastAsia="zh-CN"/>
        </w:rPr>
        <w:t>来</w:t>
      </w:r>
      <w:r>
        <w:rPr>
          <w:rFonts w:hint="default" w:ascii="Times New Roman" w:hAnsi="Times New Roman" w:cs="Times New Roman"/>
          <w:b w:val="0"/>
          <w:bCs/>
          <w:sz w:val="24"/>
          <w:szCs w:val="24"/>
          <w:lang w:val="en-US"/>
        </w:rPr>
        <w:t>计算项目所带来的经济效益</w:t>
      </w:r>
      <w:r>
        <w:rPr>
          <w:rFonts w:hint="default" w:ascii="Times New Roman" w:hAnsi="Times New Roman" w:cs="Times New Roman"/>
          <w:b w:val="0"/>
          <w:bCs/>
          <w:sz w:val="24"/>
          <w:szCs w:val="24"/>
          <w:lang w:val="en-US" w:eastAsia="zh-CN"/>
        </w:rPr>
        <w:t>。</w:t>
      </w:r>
    </w:p>
    <w:p>
      <w:pPr>
        <w:bidi w:val="0"/>
        <w:spacing w:line="240" w:lineRule="auto"/>
        <w:jc w:val="center"/>
        <w:rPr>
          <w:rFonts w:hint="default" w:ascii="Times New Roman" w:hAnsi="Times New Roman" w:cs="Times New Roman"/>
          <w:b/>
          <w:bCs/>
          <w:sz w:val="12"/>
        </w:rPr>
      </w:pPr>
      <w:r>
        <w:rPr>
          <w:rFonts w:hint="default" w:ascii="Times New Roman" w:hAnsi="Times New Roman" w:cs="Times New Roman"/>
          <w:b/>
          <w:bCs/>
          <w:sz w:val="21"/>
          <w:szCs w:val="21"/>
        </w:rPr>
        <w:t xml:space="preserve">表 </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rPr>
        <w:t>.2-1</w:t>
      </w:r>
      <w:r>
        <w:rPr>
          <w:rFonts w:hint="default" w:ascii="Times New Roman" w:hAnsi="Times New Roman" w:cs="Times New Roman"/>
          <w:b/>
          <w:bCs/>
          <w:sz w:val="21"/>
          <w:szCs w:val="21"/>
        </w:rPr>
        <w:tab/>
      </w:r>
      <w:r>
        <w:rPr>
          <w:rFonts w:hint="default" w:ascii="Times New Roman" w:hAnsi="Times New Roman" w:cs="Times New Roman"/>
          <w:b/>
          <w:bCs/>
          <w:sz w:val="21"/>
          <w:szCs w:val="21"/>
        </w:rPr>
        <w:t>项目环境经济效益估算</w:t>
      </w:r>
    </w:p>
    <w:tbl>
      <w:tblPr>
        <w:tblStyle w:val="17"/>
        <w:tblW w:w="4749"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282"/>
        <w:gridCol w:w="2828"/>
        <w:gridCol w:w="2404"/>
        <w:gridCol w:w="2532"/>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1442" w:type="dxa"/>
            <w:tcBorders>
              <w:bottom w:val="single" w:color="000000" w:sz="4" w:space="0"/>
              <w:right w:val="single" w:color="000000" w:sz="4" w:space="0"/>
            </w:tcBorders>
            <w:vAlign w:val="center"/>
          </w:tcPr>
          <w:p>
            <w:pPr>
              <w:pStyle w:val="23"/>
              <w:spacing w:before="14" w:line="240" w:lineRule="auto"/>
              <w:ind w:lef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3183" w:type="dxa"/>
            <w:tcBorders>
              <w:left w:val="single" w:color="000000" w:sz="4" w:space="0"/>
              <w:bottom w:val="single" w:color="000000" w:sz="4" w:space="0"/>
              <w:right w:val="single" w:color="000000" w:sz="4" w:space="0"/>
            </w:tcBorders>
            <w:vAlign w:val="center"/>
          </w:tcPr>
          <w:p>
            <w:pPr>
              <w:pStyle w:val="23"/>
              <w:spacing w:before="14"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影响内容</w:t>
            </w:r>
          </w:p>
        </w:tc>
        <w:tc>
          <w:tcPr>
            <w:tcW w:w="2705" w:type="dxa"/>
            <w:tcBorders>
              <w:left w:val="single" w:color="000000" w:sz="4" w:space="0"/>
              <w:bottom w:val="single" w:color="000000" w:sz="4" w:space="0"/>
              <w:right w:val="single" w:color="000000" w:sz="4" w:space="0"/>
            </w:tcBorders>
            <w:vAlign w:val="center"/>
          </w:tcPr>
          <w:p>
            <w:pPr>
              <w:pStyle w:val="23"/>
              <w:spacing w:before="14" w:line="240" w:lineRule="auto"/>
              <w:ind w:left="117"/>
              <w:jc w:val="center"/>
              <w:rPr>
                <w:rFonts w:hint="default" w:ascii="Times New Roman" w:hAnsi="Times New Roman" w:cs="Times New Roman"/>
                <w:sz w:val="21"/>
                <w:szCs w:val="21"/>
              </w:rPr>
            </w:pPr>
            <w:r>
              <w:rPr>
                <w:rFonts w:hint="default" w:ascii="Times New Roman" w:hAnsi="Times New Roman" w:eastAsia="宋体" w:cs="Times New Roman"/>
                <w:sz w:val="21"/>
                <w:szCs w:val="21"/>
              </w:rPr>
              <w:t>挽回经济损失</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万元</w:t>
            </w:r>
            <w:r>
              <w:rPr>
                <w:rFonts w:hint="default" w:ascii="Times New Roman" w:hAnsi="Times New Roman" w:cs="Times New Roman"/>
                <w:sz w:val="21"/>
                <w:szCs w:val="21"/>
              </w:rPr>
              <w:t>/</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eastAsia="zh-CN"/>
              </w:rPr>
              <w:t>）</w:t>
            </w:r>
          </w:p>
        </w:tc>
        <w:tc>
          <w:tcPr>
            <w:tcW w:w="2849" w:type="dxa"/>
            <w:tcBorders>
              <w:left w:val="single" w:color="000000" w:sz="4" w:space="0"/>
              <w:bottom w:val="single" w:color="000000" w:sz="4" w:space="0"/>
            </w:tcBorders>
            <w:vAlign w:val="center"/>
          </w:tcPr>
          <w:p>
            <w:pPr>
              <w:pStyle w:val="23"/>
              <w:tabs>
                <w:tab w:val="left" w:pos="569"/>
              </w:tabs>
              <w:spacing w:before="14"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0" w:hRule="atLeast"/>
          <w:jc w:val="center"/>
        </w:trPr>
        <w:tc>
          <w:tcPr>
            <w:tcW w:w="1442" w:type="dxa"/>
            <w:tcBorders>
              <w:top w:val="single" w:color="000000" w:sz="4" w:space="0"/>
              <w:bottom w:val="single" w:color="000000" w:sz="4" w:space="0"/>
              <w:right w:val="single" w:color="000000" w:sz="4" w:space="0"/>
            </w:tcBorders>
            <w:vAlign w:val="center"/>
          </w:tcPr>
          <w:p>
            <w:pPr>
              <w:pStyle w:val="23"/>
              <w:spacing w:before="24" w:line="240" w:lineRule="auto"/>
              <w:ind w:left="137"/>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3183" w:type="dxa"/>
            <w:tcBorders>
              <w:top w:val="single" w:color="000000" w:sz="4" w:space="0"/>
              <w:left w:val="single" w:color="000000" w:sz="4" w:space="0"/>
              <w:bottom w:val="single" w:color="000000" w:sz="4" w:space="0"/>
              <w:right w:val="single" w:color="000000" w:sz="4" w:space="0"/>
            </w:tcBorders>
            <w:vAlign w:val="center"/>
          </w:tcPr>
          <w:p>
            <w:pPr>
              <w:pStyle w:val="23"/>
              <w:spacing w:before="12"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人群健康</w:t>
            </w:r>
          </w:p>
        </w:tc>
        <w:tc>
          <w:tcPr>
            <w:tcW w:w="27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2849" w:type="dxa"/>
            <w:tcBorders>
              <w:top w:val="single" w:color="000000" w:sz="4" w:space="0"/>
              <w:left w:val="single" w:color="000000" w:sz="4" w:space="0"/>
              <w:bottom w:val="single" w:color="000000" w:sz="4" w:space="0"/>
            </w:tcBorders>
            <w:vAlign w:val="center"/>
          </w:tcPr>
          <w:p>
            <w:pPr>
              <w:pStyle w:val="23"/>
              <w:spacing w:before="12"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疾病预防</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事故处理</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442" w:type="dxa"/>
            <w:tcBorders>
              <w:top w:val="single" w:color="000000" w:sz="4" w:space="0"/>
              <w:bottom w:val="single" w:color="000000" w:sz="4" w:space="0"/>
              <w:right w:val="single" w:color="000000" w:sz="4" w:space="0"/>
            </w:tcBorders>
            <w:vAlign w:val="center"/>
          </w:tcPr>
          <w:p>
            <w:pPr>
              <w:pStyle w:val="23"/>
              <w:spacing w:before="23" w:line="240" w:lineRule="auto"/>
              <w:ind w:left="137"/>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3183" w:type="dxa"/>
            <w:tcBorders>
              <w:top w:val="single" w:color="000000" w:sz="4" w:space="0"/>
              <w:left w:val="single" w:color="000000" w:sz="4" w:space="0"/>
              <w:bottom w:val="single" w:color="000000" w:sz="4" w:space="0"/>
              <w:right w:val="single" w:color="000000" w:sz="4" w:space="0"/>
            </w:tcBorders>
            <w:vAlign w:val="center"/>
          </w:tcPr>
          <w:p>
            <w:pPr>
              <w:pStyle w:val="23"/>
              <w:spacing w:before="11"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环境空气污染防治</w:t>
            </w:r>
          </w:p>
        </w:tc>
        <w:tc>
          <w:tcPr>
            <w:tcW w:w="27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849" w:type="dxa"/>
            <w:tcBorders>
              <w:top w:val="single" w:color="000000" w:sz="4" w:space="0"/>
              <w:left w:val="single" w:color="000000" w:sz="4" w:space="0"/>
              <w:bottom w:val="single" w:color="000000" w:sz="4" w:space="0"/>
            </w:tcBorders>
            <w:vAlign w:val="center"/>
          </w:tcPr>
          <w:p>
            <w:pPr>
              <w:pStyle w:val="23"/>
              <w:spacing w:before="11"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环境空气保护</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442" w:type="dxa"/>
            <w:tcBorders>
              <w:top w:val="single" w:color="000000" w:sz="4" w:space="0"/>
              <w:bottom w:val="single" w:color="000000" w:sz="4" w:space="0"/>
              <w:right w:val="single" w:color="000000" w:sz="4" w:space="0"/>
            </w:tcBorders>
            <w:vAlign w:val="center"/>
          </w:tcPr>
          <w:p>
            <w:pPr>
              <w:pStyle w:val="23"/>
              <w:spacing w:before="23" w:line="240" w:lineRule="auto"/>
              <w:ind w:left="137"/>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3183" w:type="dxa"/>
            <w:tcBorders>
              <w:top w:val="single" w:color="000000" w:sz="4" w:space="0"/>
              <w:left w:val="single" w:color="000000" w:sz="4" w:space="0"/>
              <w:bottom w:val="single" w:color="000000" w:sz="4" w:space="0"/>
              <w:right w:val="single" w:color="000000" w:sz="4" w:space="0"/>
            </w:tcBorders>
            <w:vAlign w:val="center"/>
          </w:tcPr>
          <w:p>
            <w:pPr>
              <w:pStyle w:val="23"/>
              <w:spacing w:before="11"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 声</w:t>
            </w:r>
          </w:p>
        </w:tc>
        <w:tc>
          <w:tcPr>
            <w:tcW w:w="27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rPr>
            </w:pPr>
            <w:r>
              <w:rPr>
                <w:rFonts w:hint="default" w:ascii="Times New Roman" w:hAnsi="Times New Roman" w:cs="Times New Roman"/>
                <w:i w:val="0"/>
                <w:iCs w:val="0"/>
                <w:color w:val="000000"/>
                <w:kern w:val="0"/>
                <w:sz w:val="21"/>
                <w:szCs w:val="21"/>
                <w:u w:val="none"/>
                <w:lang w:val="en-US" w:eastAsia="zh-CN" w:bidi="ar"/>
              </w:rPr>
              <w:t>50</w:t>
            </w:r>
          </w:p>
        </w:tc>
        <w:tc>
          <w:tcPr>
            <w:tcW w:w="2849" w:type="dxa"/>
            <w:tcBorders>
              <w:top w:val="single" w:color="000000" w:sz="4" w:space="0"/>
              <w:left w:val="single" w:color="000000" w:sz="4" w:space="0"/>
              <w:bottom w:val="single" w:color="000000" w:sz="4" w:space="0"/>
            </w:tcBorders>
            <w:vAlign w:val="center"/>
          </w:tcPr>
          <w:p>
            <w:pPr>
              <w:pStyle w:val="23"/>
              <w:spacing w:before="11"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重要敏感目标防噪</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442" w:type="dxa"/>
            <w:tcBorders>
              <w:top w:val="single" w:color="000000" w:sz="4" w:space="0"/>
              <w:bottom w:val="single" w:color="000000" w:sz="4" w:space="0"/>
              <w:right w:val="single" w:color="000000" w:sz="4" w:space="0"/>
            </w:tcBorders>
            <w:vAlign w:val="center"/>
          </w:tcPr>
          <w:p>
            <w:pPr>
              <w:pStyle w:val="23"/>
              <w:spacing w:before="23" w:line="240" w:lineRule="auto"/>
              <w:ind w:left="137"/>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3183" w:type="dxa"/>
            <w:tcBorders>
              <w:top w:val="single" w:color="000000" w:sz="4" w:space="0"/>
              <w:left w:val="single" w:color="000000" w:sz="4" w:space="0"/>
              <w:bottom w:val="single" w:color="000000" w:sz="4" w:space="0"/>
              <w:right w:val="single" w:color="000000" w:sz="4" w:space="0"/>
            </w:tcBorders>
            <w:vAlign w:val="center"/>
          </w:tcPr>
          <w:p>
            <w:pPr>
              <w:pStyle w:val="23"/>
              <w:spacing w:before="12"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风险事故</w:t>
            </w:r>
          </w:p>
        </w:tc>
        <w:tc>
          <w:tcPr>
            <w:tcW w:w="27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2849" w:type="dxa"/>
            <w:tcBorders>
              <w:top w:val="single" w:color="000000" w:sz="4" w:space="0"/>
              <w:left w:val="single" w:color="000000" w:sz="4" w:space="0"/>
              <w:bottom w:val="single" w:color="000000" w:sz="4" w:space="0"/>
            </w:tcBorders>
            <w:vAlign w:val="center"/>
          </w:tcPr>
          <w:p>
            <w:pPr>
              <w:pStyle w:val="23"/>
              <w:spacing w:before="12"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按一次事故危险品损失计</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442" w:type="dxa"/>
            <w:tcBorders>
              <w:top w:val="single" w:color="000000" w:sz="4" w:space="0"/>
              <w:bottom w:val="single" w:color="000000" w:sz="4" w:space="0"/>
              <w:right w:val="single" w:color="000000" w:sz="4" w:space="0"/>
            </w:tcBorders>
            <w:vAlign w:val="center"/>
          </w:tcPr>
          <w:p>
            <w:pPr>
              <w:pStyle w:val="23"/>
              <w:spacing w:before="23" w:line="240" w:lineRule="auto"/>
              <w:ind w:left="137"/>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3183" w:type="dxa"/>
            <w:tcBorders>
              <w:top w:val="single" w:color="000000" w:sz="4" w:space="0"/>
              <w:left w:val="single" w:color="000000" w:sz="4" w:space="0"/>
              <w:bottom w:val="single" w:color="000000" w:sz="4" w:space="0"/>
              <w:right w:val="single" w:color="000000" w:sz="4" w:space="0"/>
            </w:tcBorders>
            <w:vAlign w:val="center"/>
          </w:tcPr>
          <w:p>
            <w:pPr>
              <w:pStyle w:val="23"/>
              <w:spacing w:before="11"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水土流失</w:t>
            </w:r>
          </w:p>
        </w:tc>
        <w:tc>
          <w:tcPr>
            <w:tcW w:w="27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rPr>
            </w:pPr>
            <w:r>
              <w:rPr>
                <w:rFonts w:hint="default" w:ascii="Times New Roman" w:hAnsi="Times New Roman" w:cs="Times New Roman"/>
                <w:i w:val="0"/>
                <w:iCs w:val="0"/>
                <w:color w:val="000000"/>
                <w:kern w:val="0"/>
                <w:sz w:val="21"/>
                <w:szCs w:val="21"/>
                <w:u w:val="none"/>
                <w:lang w:val="en-US" w:eastAsia="zh-CN" w:bidi="ar"/>
              </w:rPr>
              <w:t>30</w:t>
            </w:r>
          </w:p>
        </w:tc>
        <w:tc>
          <w:tcPr>
            <w:tcW w:w="2849" w:type="dxa"/>
            <w:tcBorders>
              <w:top w:val="single" w:color="000000" w:sz="4" w:space="0"/>
              <w:left w:val="single" w:color="000000" w:sz="4" w:space="0"/>
              <w:bottom w:val="single" w:color="000000" w:sz="4" w:space="0"/>
            </w:tcBorders>
            <w:vAlign w:val="center"/>
          </w:tcPr>
          <w:p>
            <w:pPr>
              <w:pStyle w:val="23"/>
              <w:spacing w:before="11"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水土流失治理</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1442" w:type="dxa"/>
            <w:tcBorders>
              <w:top w:val="single" w:color="000000" w:sz="4" w:space="0"/>
              <w:bottom w:val="single" w:color="000000" w:sz="4" w:space="0"/>
              <w:right w:val="single" w:color="000000" w:sz="4" w:space="0"/>
            </w:tcBorders>
            <w:vAlign w:val="center"/>
          </w:tcPr>
          <w:p>
            <w:pPr>
              <w:pStyle w:val="23"/>
              <w:spacing w:before="26" w:line="240" w:lineRule="auto"/>
              <w:ind w:left="137"/>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3183" w:type="dxa"/>
            <w:tcBorders>
              <w:top w:val="single" w:color="000000" w:sz="4" w:space="0"/>
              <w:left w:val="single" w:color="000000" w:sz="4" w:space="0"/>
              <w:bottom w:val="single" w:color="000000" w:sz="4" w:space="0"/>
              <w:right w:val="single" w:color="000000" w:sz="4" w:space="0"/>
            </w:tcBorders>
            <w:vAlign w:val="center"/>
          </w:tcPr>
          <w:p>
            <w:pPr>
              <w:pStyle w:val="23"/>
              <w:spacing w:before="14"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w:t>
            </w:r>
          </w:p>
        </w:tc>
        <w:tc>
          <w:tcPr>
            <w:tcW w:w="27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rPr>
            </w:pPr>
            <w:r>
              <w:rPr>
                <w:rFonts w:hint="default" w:ascii="Times New Roman" w:hAnsi="Times New Roman" w:cs="Times New Roman"/>
                <w:i w:val="0"/>
                <w:iCs w:val="0"/>
                <w:color w:val="000000"/>
                <w:kern w:val="0"/>
                <w:sz w:val="21"/>
                <w:szCs w:val="21"/>
                <w:u w:val="none"/>
                <w:lang w:val="en-US" w:eastAsia="zh-CN" w:bidi="ar"/>
              </w:rPr>
              <w:t>30</w:t>
            </w:r>
          </w:p>
        </w:tc>
        <w:tc>
          <w:tcPr>
            <w:tcW w:w="2849" w:type="dxa"/>
            <w:tcBorders>
              <w:top w:val="single" w:color="000000" w:sz="4" w:space="0"/>
              <w:left w:val="single" w:color="000000" w:sz="4" w:space="0"/>
              <w:bottom w:val="single" w:color="000000" w:sz="4" w:space="0"/>
            </w:tcBorders>
            <w:vAlign w:val="center"/>
          </w:tcPr>
          <w:p>
            <w:pPr>
              <w:pStyle w:val="23"/>
              <w:spacing w:before="14"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生态环境保护</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442" w:type="dxa"/>
            <w:tcBorders>
              <w:top w:val="single" w:color="000000" w:sz="4" w:space="0"/>
              <w:bottom w:val="single" w:color="000000" w:sz="4" w:space="0"/>
              <w:right w:val="single" w:color="000000" w:sz="4" w:space="0"/>
            </w:tcBorders>
            <w:vAlign w:val="center"/>
          </w:tcPr>
          <w:p>
            <w:pPr>
              <w:pStyle w:val="23"/>
              <w:spacing w:before="23" w:line="240" w:lineRule="auto"/>
              <w:ind w:left="137"/>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3183" w:type="dxa"/>
            <w:tcBorders>
              <w:top w:val="single" w:color="000000" w:sz="4" w:space="0"/>
              <w:left w:val="single" w:color="000000" w:sz="4" w:space="0"/>
              <w:bottom w:val="single" w:color="000000" w:sz="4" w:space="0"/>
              <w:right w:val="single" w:color="000000" w:sz="4" w:space="0"/>
            </w:tcBorders>
            <w:vAlign w:val="center"/>
          </w:tcPr>
          <w:p>
            <w:pPr>
              <w:pStyle w:val="23"/>
              <w:spacing w:before="12"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营运期水环境保护</w:t>
            </w:r>
          </w:p>
        </w:tc>
        <w:tc>
          <w:tcPr>
            <w:tcW w:w="27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rPr>
            </w:pPr>
            <w:r>
              <w:rPr>
                <w:rFonts w:hint="default" w:ascii="Times New Roman" w:hAnsi="Times New Roman" w:cs="Times New Roman"/>
                <w:i w:val="0"/>
                <w:iCs w:val="0"/>
                <w:color w:val="000000"/>
                <w:kern w:val="0"/>
                <w:sz w:val="21"/>
                <w:szCs w:val="21"/>
                <w:u w:val="none"/>
                <w:lang w:val="en-US" w:eastAsia="zh-CN" w:bidi="ar"/>
              </w:rPr>
              <w:t>10</w:t>
            </w:r>
          </w:p>
        </w:tc>
        <w:tc>
          <w:tcPr>
            <w:tcW w:w="2849" w:type="dxa"/>
            <w:tcBorders>
              <w:top w:val="single" w:color="000000" w:sz="4" w:space="0"/>
              <w:left w:val="single" w:color="000000" w:sz="4" w:space="0"/>
              <w:bottom w:val="single" w:color="000000" w:sz="4" w:space="0"/>
            </w:tcBorders>
            <w:vAlign w:val="center"/>
          </w:tcPr>
          <w:p>
            <w:pPr>
              <w:pStyle w:val="23"/>
              <w:spacing w:before="12" w:line="240" w:lineRule="auto"/>
              <w:ind w:lef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水环境保护</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4625" w:type="dxa"/>
            <w:gridSpan w:val="2"/>
            <w:tcBorders>
              <w:top w:val="single" w:color="000000" w:sz="4" w:space="0"/>
              <w:right w:val="single" w:color="000000" w:sz="4" w:space="0"/>
            </w:tcBorders>
            <w:vAlign w:val="center"/>
          </w:tcPr>
          <w:p>
            <w:pPr>
              <w:pStyle w:val="23"/>
              <w:tabs>
                <w:tab w:val="left" w:pos="679"/>
              </w:tabs>
              <w:spacing w:before="11" w:line="240" w:lineRule="auto"/>
              <w:ind w:lef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计</w:t>
            </w:r>
          </w:p>
        </w:tc>
        <w:tc>
          <w:tcPr>
            <w:tcW w:w="2705" w:type="dxa"/>
            <w:tcBorders>
              <w:top w:val="single" w:color="000000" w:sz="4" w:space="0"/>
              <w:left w:val="single" w:color="000000" w:sz="4" w:space="0"/>
              <w:right w:val="single" w:color="000000" w:sz="4" w:space="0"/>
            </w:tcBorders>
            <w:vAlign w:val="center"/>
          </w:tcPr>
          <w:p>
            <w:pPr>
              <w:pStyle w:val="23"/>
              <w:spacing w:before="23" w:line="240" w:lineRule="auto"/>
              <w:ind w:left="117"/>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198</w:t>
            </w:r>
          </w:p>
        </w:tc>
        <w:tc>
          <w:tcPr>
            <w:tcW w:w="2849" w:type="dxa"/>
            <w:tcBorders>
              <w:top w:val="single" w:color="000000" w:sz="4" w:space="0"/>
              <w:left w:val="single" w:color="000000" w:sz="4" w:space="0"/>
            </w:tcBorders>
            <w:vAlign w:val="center"/>
          </w:tcPr>
          <w:p>
            <w:pPr>
              <w:pStyle w:val="23"/>
              <w:spacing w:line="240" w:lineRule="auto"/>
              <w:jc w:val="center"/>
              <w:rPr>
                <w:rFonts w:hint="default" w:ascii="Times New Roman" w:hAnsi="Times New Roman" w:cs="Times New Roman"/>
                <w:sz w:val="21"/>
                <w:szCs w:val="21"/>
              </w:rPr>
            </w:pPr>
          </w:p>
        </w:tc>
      </w:tr>
    </w:tbl>
    <w:p>
      <w:pPr>
        <w:bidi w:val="0"/>
        <w:rPr>
          <w:rFonts w:hint="default"/>
          <w:lang w:val="en-US" w:eastAsia="zh-CN"/>
        </w:rPr>
      </w:pPr>
      <w:bookmarkStart w:id="143" w:name="_Toc2871"/>
    </w:p>
    <w:p>
      <w:pPr>
        <w:pStyle w:val="4"/>
        <w:bidi w:val="0"/>
        <w:rPr>
          <w:rFonts w:hint="default"/>
          <w:lang w:val="en-US" w:eastAsia="zh-CN"/>
        </w:rPr>
      </w:pPr>
      <w:r>
        <w:rPr>
          <w:rFonts w:hint="default"/>
          <w:lang w:val="en-US" w:eastAsia="zh-CN"/>
        </w:rPr>
        <w:t>7.3.项目环境保护措施经济效益分析</w:t>
      </w:r>
      <w:bookmarkEnd w:id="143"/>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环保措施的经济损益分析可由年环保费用的经济效益来表示，计算公式如下：</w:t>
      </w:r>
    </w:p>
    <w:p>
      <w:pPr>
        <w:keepNext w:val="0"/>
        <w:keepLines w:val="0"/>
        <w:pageBreakBefore w:val="0"/>
        <w:widowControl w:val="0"/>
        <w:kinsoku/>
        <w:wordWrap/>
        <w:overflowPunct/>
        <w:topLinePunct w:val="0"/>
        <w:autoSpaceDE w:val="0"/>
        <w:autoSpaceDN w:val="0"/>
        <w:bidi w:val="0"/>
        <w:spacing w:line="360" w:lineRule="auto"/>
        <w:ind w:firstLine="480" w:firstLineChars="200"/>
        <w:jc w:val="center"/>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E=S/H</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式中：E——环保费用的经济效益；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S——采取环保措施后每年可挽回的经济损失；</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 H——年均环保投资费用。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rPr>
        <w:t>拟建项目环保措施的实施每年可挽回经济损失</w:t>
      </w:r>
      <w:r>
        <w:rPr>
          <w:rFonts w:hint="default" w:ascii="Times New Roman" w:hAnsi="Times New Roman" w:cs="Times New Roman"/>
          <w:b w:val="0"/>
          <w:bCs/>
          <w:sz w:val="24"/>
          <w:szCs w:val="24"/>
          <w:lang w:val="en-US" w:eastAsia="zh-CN"/>
        </w:rPr>
        <w:t>198</w:t>
      </w:r>
      <w:r>
        <w:rPr>
          <w:rFonts w:hint="default" w:ascii="Times New Roman" w:hAnsi="Times New Roman" w:cs="Times New Roman"/>
          <w:b w:val="0"/>
          <w:bCs/>
          <w:sz w:val="24"/>
          <w:szCs w:val="24"/>
          <w:lang w:val="en-US"/>
        </w:rPr>
        <w:t>万元，而且可以得到大量无法估算的间接经济效益和社会效益，每年（折算营运期10年）用于环保的直接费用</w:t>
      </w:r>
      <w:r>
        <w:rPr>
          <w:rFonts w:hint="default" w:ascii="Times New Roman" w:hAnsi="Times New Roman" w:cs="Times New Roman"/>
          <w:b w:val="0"/>
          <w:bCs/>
          <w:sz w:val="24"/>
          <w:szCs w:val="24"/>
          <w:lang w:val="en-US" w:eastAsia="zh-CN"/>
        </w:rPr>
        <w:t>127.7</w:t>
      </w:r>
      <w:r>
        <w:rPr>
          <w:rFonts w:hint="default" w:ascii="Times New Roman" w:hAnsi="Times New Roman" w:cs="Times New Roman"/>
          <w:b w:val="0"/>
          <w:bCs/>
          <w:sz w:val="24"/>
          <w:szCs w:val="24"/>
          <w:lang w:val="en-US"/>
        </w:rPr>
        <w:t>/10+</w:t>
      </w:r>
      <w:r>
        <w:rPr>
          <w:rFonts w:hint="default" w:ascii="Times New Roman" w:hAnsi="Times New Roman" w:cs="Times New Roman"/>
          <w:b w:val="0"/>
          <w:bCs/>
          <w:sz w:val="24"/>
          <w:szCs w:val="24"/>
          <w:lang w:val="en-US" w:eastAsia="zh-CN"/>
        </w:rPr>
        <w:t>14</w:t>
      </w:r>
      <w:r>
        <w:rPr>
          <w:rFonts w:hint="default" w:ascii="Times New Roman" w:hAnsi="Times New Roman" w:cs="Times New Roman"/>
          <w:b w:val="0"/>
          <w:bCs/>
          <w:sz w:val="24"/>
          <w:szCs w:val="24"/>
          <w:lang w:val="en-US"/>
        </w:rPr>
        <w:t>=</w:t>
      </w:r>
      <w:r>
        <w:rPr>
          <w:rFonts w:hint="default" w:ascii="Times New Roman" w:hAnsi="Times New Roman" w:cs="Times New Roman"/>
          <w:b w:val="0"/>
          <w:bCs/>
          <w:sz w:val="24"/>
          <w:szCs w:val="24"/>
          <w:lang w:val="en-US" w:eastAsia="zh-CN"/>
        </w:rPr>
        <w:t>26.77</w:t>
      </w:r>
      <w:r>
        <w:rPr>
          <w:rFonts w:hint="default" w:ascii="Times New Roman" w:hAnsi="Times New Roman" w:cs="Times New Roman"/>
          <w:b w:val="0"/>
          <w:bCs/>
          <w:sz w:val="24"/>
          <w:szCs w:val="24"/>
          <w:lang w:val="en-US"/>
        </w:rPr>
        <w:t>万元，环保费用的经济效益为 E=1.5</w:t>
      </w:r>
      <w:r>
        <w:rPr>
          <w:rFonts w:hint="default" w:ascii="Times New Roman" w:hAnsi="Times New Roman" w:cs="Times New Roman"/>
          <w:b w:val="0"/>
          <w:bCs/>
          <w:sz w:val="24"/>
          <w:szCs w:val="24"/>
          <w:lang w:val="en-US" w:eastAsia="zh-CN"/>
        </w:rPr>
        <w:t>5</w:t>
      </w:r>
      <w:r>
        <w:rPr>
          <w:rFonts w:hint="default" w:ascii="Times New Roman" w:hAnsi="Times New Roman" w:cs="Times New Roman"/>
          <w:b w:val="0"/>
          <w:bCs/>
          <w:sz w:val="24"/>
          <w:szCs w:val="24"/>
          <w:lang w:val="en-US"/>
        </w:rPr>
        <w:t>，工程环保投资效益较明显</w:t>
      </w:r>
      <w:r>
        <w:rPr>
          <w:rFonts w:hint="default" w:ascii="Times New Roman" w:hAnsi="Times New Roman" w:cs="Times New Roman"/>
          <w:b w:val="0"/>
          <w:bCs/>
          <w:sz w:val="24"/>
          <w:szCs w:val="24"/>
          <w:lang w:val="en-US" w:eastAsia="zh-CN"/>
        </w:rPr>
        <w:t>。</w:t>
      </w: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pStyle w:val="3"/>
        <w:bidi w:val="0"/>
        <w:rPr>
          <w:rFonts w:hint="default"/>
          <w:lang w:val="en-US" w:eastAsia="zh-CN"/>
        </w:rPr>
      </w:pPr>
      <w:bookmarkStart w:id="144" w:name="_Toc8369"/>
      <w:r>
        <w:rPr>
          <w:rFonts w:hint="default"/>
          <w:lang w:val="en-US" w:eastAsia="zh-CN"/>
        </w:rPr>
        <w:t>8. 环境管理与监测计划</w:t>
      </w:r>
      <w:bookmarkEnd w:id="144"/>
    </w:p>
    <w:p>
      <w:pPr>
        <w:pStyle w:val="4"/>
        <w:bidi w:val="0"/>
        <w:rPr>
          <w:rFonts w:hint="default"/>
          <w:lang w:val="en-US" w:eastAsia="zh-CN"/>
        </w:rPr>
      </w:pPr>
      <w:bookmarkStart w:id="145" w:name="_Toc3124"/>
      <w:r>
        <w:rPr>
          <w:rFonts w:hint="default"/>
          <w:lang w:val="en-US" w:eastAsia="zh-CN"/>
        </w:rPr>
        <w:t>8.1.环境管理</w:t>
      </w:r>
      <w:bookmarkEnd w:id="145"/>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8.1.1.环境管理目标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通过制定系统科学的环境管理计划，使本工程的建设和营运符合国家有关环境保护的法律法规，严格执行环保工程与主体工程同时设计</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同时施工和同时竣工验收的“三同时”规定。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通过实施环境管理计划，力图将本工程的建设和运营对环境带来的不利影响减轻至</w:t>
      </w:r>
      <w:r>
        <w:rPr>
          <w:rFonts w:hint="eastAsia" w:ascii="Times New Roman" w:hAnsi="Times New Roman" w:cs="Times New Roman"/>
          <w:b w:val="0"/>
          <w:bCs/>
          <w:sz w:val="24"/>
          <w:szCs w:val="24"/>
          <w:lang w:val="en-US" w:eastAsia="zh-CN"/>
        </w:rPr>
        <w:t>最低程度</w:t>
      </w:r>
      <w:r>
        <w:rPr>
          <w:rFonts w:hint="default" w:ascii="Times New Roman" w:hAnsi="Times New Roman" w:cs="Times New Roman"/>
          <w:b w:val="0"/>
          <w:bCs/>
          <w:sz w:val="24"/>
          <w:szCs w:val="24"/>
          <w:lang w:val="en-US"/>
        </w:rPr>
        <w:t>，使公路建设的经济效益和环境效益得以协调</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持续和稳定发展。</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46" w:name="8.1.2 环境管理体系和机构"/>
      <w:bookmarkEnd w:id="146"/>
      <w:bookmarkStart w:id="147" w:name="8.1.2 环境管理体系和机构"/>
      <w:bookmarkEnd w:id="147"/>
      <w:r>
        <w:rPr>
          <w:rFonts w:hint="default" w:ascii="Times New Roman" w:hAnsi="Times New Roman" w:cs="Times New Roman"/>
          <w:sz w:val="24"/>
          <w:szCs w:val="24"/>
          <w:lang w:val="en-US" w:eastAsia="zh-CN"/>
        </w:rPr>
        <w:t>8.1.2.环境管理体系和机构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本工程环境管理机构体系和环保机构见表 8.1-1，由</w:t>
      </w:r>
      <w:r>
        <w:rPr>
          <w:rFonts w:hint="default" w:ascii="Times New Roman" w:hAnsi="Times New Roman" w:cs="Times New Roman"/>
          <w:b w:val="0"/>
          <w:bCs/>
          <w:sz w:val="24"/>
          <w:szCs w:val="24"/>
          <w:lang w:val="en-US" w:eastAsia="zh-CN"/>
        </w:rPr>
        <w:t>达州市</w:t>
      </w:r>
      <w:r>
        <w:rPr>
          <w:rFonts w:hint="default" w:ascii="Times New Roman" w:hAnsi="Times New Roman" w:cs="Times New Roman"/>
          <w:b w:val="0"/>
          <w:bCs/>
          <w:sz w:val="24"/>
          <w:szCs w:val="24"/>
          <w:lang w:val="en-US"/>
        </w:rPr>
        <w:t>生态环境</w:t>
      </w:r>
      <w:r>
        <w:rPr>
          <w:rFonts w:hint="default" w:ascii="Times New Roman" w:hAnsi="Times New Roman" w:cs="Times New Roman"/>
          <w:b w:val="0"/>
          <w:bCs/>
          <w:sz w:val="24"/>
          <w:szCs w:val="24"/>
          <w:lang w:val="en-US" w:eastAsia="zh-CN"/>
        </w:rPr>
        <w:t>局</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渠县</w:t>
      </w:r>
      <w:r>
        <w:rPr>
          <w:rFonts w:hint="default" w:ascii="Times New Roman" w:hAnsi="Times New Roman" w:cs="Times New Roman"/>
          <w:b w:val="0"/>
          <w:bCs/>
          <w:sz w:val="24"/>
          <w:szCs w:val="24"/>
          <w:lang w:val="en-US"/>
        </w:rPr>
        <w:t>生态环境局对环境管理计划的执行情况进行监督。</w:t>
      </w:r>
    </w:p>
    <w:p>
      <w:pPr>
        <w:tabs>
          <w:tab w:val="left" w:pos="3998"/>
        </w:tabs>
        <w:spacing w:before="0" w:after="30" w:line="268" w:lineRule="exact"/>
        <w:ind w:left="3086" w:right="0" w:firstLine="0"/>
        <w:jc w:val="left"/>
        <w:rPr>
          <w:rFonts w:hint="default" w:ascii="Times New Roman" w:hAnsi="Times New Roman" w:cs="Times New Roman"/>
          <w:b/>
          <w:sz w:val="21"/>
        </w:rPr>
      </w:pPr>
      <w:r>
        <w:rPr>
          <w:rFonts w:hint="default" w:ascii="Times New Roman" w:hAnsi="Times New Roman" w:cs="Times New Roman"/>
          <w:b/>
          <w:sz w:val="21"/>
        </w:rPr>
        <w:t>表</w:t>
      </w:r>
      <w:r>
        <w:rPr>
          <w:rFonts w:hint="default" w:ascii="Times New Roman" w:hAnsi="Times New Roman" w:cs="Times New Roman"/>
          <w:b/>
          <w:spacing w:val="-52"/>
          <w:sz w:val="21"/>
        </w:rPr>
        <w:t xml:space="preserve"> </w:t>
      </w:r>
      <w:r>
        <w:rPr>
          <w:rFonts w:hint="default" w:ascii="Times New Roman" w:hAnsi="Times New Roman" w:eastAsia="Times New Roman" w:cs="Times New Roman"/>
          <w:b/>
          <w:sz w:val="21"/>
        </w:rPr>
        <w:t>8.1-1</w:t>
      </w:r>
      <w:r>
        <w:rPr>
          <w:rFonts w:hint="default" w:ascii="Times New Roman" w:hAnsi="Times New Roman" w:eastAsia="Times New Roman" w:cs="Times New Roman"/>
          <w:b/>
          <w:sz w:val="21"/>
        </w:rPr>
        <w:tab/>
      </w:r>
      <w:r>
        <w:rPr>
          <w:rFonts w:hint="default" w:ascii="Times New Roman" w:hAnsi="Times New Roman" w:cs="Times New Roman"/>
          <w:b/>
          <w:sz w:val="21"/>
        </w:rPr>
        <w:t>环境管理体系</w:t>
      </w:r>
      <w:r>
        <w:rPr>
          <w:rFonts w:hint="default" w:ascii="Times New Roman" w:hAnsi="Times New Roman" w:cs="Times New Roman"/>
          <w:b/>
          <w:spacing w:val="-3"/>
          <w:sz w:val="21"/>
        </w:rPr>
        <w:t>及</w:t>
      </w:r>
      <w:r>
        <w:rPr>
          <w:rFonts w:hint="default" w:ascii="Times New Roman" w:hAnsi="Times New Roman" w:cs="Times New Roman"/>
          <w:b/>
          <w:sz w:val="21"/>
        </w:rPr>
        <w:t>环保机构职责</w:t>
      </w:r>
    </w:p>
    <w:tbl>
      <w:tblPr>
        <w:tblStyle w:val="17"/>
        <w:tblW w:w="4759"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304"/>
        <w:gridCol w:w="2024"/>
        <w:gridCol w:w="1340"/>
        <w:gridCol w:w="1917"/>
        <w:gridCol w:w="2478"/>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1303" w:type="dxa"/>
            <w:tcBorders>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项目阶段</w:t>
            </w:r>
          </w:p>
        </w:tc>
        <w:tc>
          <w:tcPr>
            <w:tcW w:w="2022" w:type="dxa"/>
            <w:tcBorders>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环境保护内容</w:t>
            </w:r>
          </w:p>
        </w:tc>
        <w:tc>
          <w:tcPr>
            <w:tcW w:w="1339" w:type="dxa"/>
            <w:tcBorders>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环保措施执行单位</w:t>
            </w:r>
          </w:p>
        </w:tc>
        <w:tc>
          <w:tcPr>
            <w:tcW w:w="1915" w:type="dxa"/>
            <w:tcBorders>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环境保护管理部门</w:t>
            </w:r>
          </w:p>
        </w:tc>
        <w:tc>
          <w:tcPr>
            <w:tcW w:w="2476" w:type="dxa"/>
            <w:tcBorders>
              <w:left w:val="single" w:color="000000" w:sz="2" w:space="0"/>
              <w:bottom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环保监督部门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71" w:hRule="atLeast"/>
          <w:jc w:val="center"/>
        </w:trPr>
        <w:tc>
          <w:tcPr>
            <w:tcW w:w="1303" w:type="dxa"/>
            <w:tcBorders>
              <w:top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环评阶段</w:t>
            </w:r>
          </w:p>
        </w:tc>
        <w:tc>
          <w:tcPr>
            <w:tcW w:w="2022" w:type="dxa"/>
            <w:tcBorders>
              <w:top w:val="single" w:color="000000" w:sz="2" w:space="0"/>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环境影响评价</w:t>
            </w:r>
          </w:p>
        </w:tc>
        <w:tc>
          <w:tcPr>
            <w:tcW w:w="1339" w:type="dxa"/>
            <w:tcBorders>
              <w:top w:val="single" w:color="000000" w:sz="2" w:space="0"/>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环境影响</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评价单位</w:t>
            </w:r>
          </w:p>
        </w:tc>
        <w:tc>
          <w:tcPr>
            <w:tcW w:w="1915" w:type="dxa"/>
            <w:tcBorders>
              <w:top w:val="single" w:color="000000" w:sz="2" w:space="0"/>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b w:val="0"/>
                <w:bCs/>
                <w:sz w:val="21"/>
                <w:szCs w:val="21"/>
                <w:lang w:val="en-US" w:eastAsia="zh-CN"/>
              </w:rPr>
              <w:t>达州市</w:t>
            </w:r>
            <w:r>
              <w:rPr>
                <w:rFonts w:hint="default" w:ascii="Times New Roman" w:hAnsi="Times New Roman" w:cs="Times New Roman"/>
                <w:b w:val="0"/>
                <w:bCs/>
                <w:sz w:val="21"/>
                <w:szCs w:val="21"/>
                <w:lang w:val="en-US"/>
              </w:rPr>
              <w:t>生态环境</w:t>
            </w:r>
            <w:r>
              <w:rPr>
                <w:rFonts w:hint="default" w:ascii="Times New Roman" w:hAnsi="Times New Roman" w:cs="Times New Roman"/>
                <w:b w:val="0"/>
                <w:bCs/>
                <w:sz w:val="21"/>
                <w:szCs w:val="21"/>
                <w:lang w:val="en-US" w:eastAsia="zh-CN"/>
              </w:rPr>
              <w:t>局</w:t>
            </w:r>
          </w:p>
        </w:tc>
        <w:tc>
          <w:tcPr>
            <w:tcW w:w="2476" w:type="dxa"/>
            <w:vMerge w:val="restart"/>
            <w:tcBorders>
              <w:top w:val="single" w:color="000000" w:sz="2" w:space="0"/>
              <w:left w:val="single" w:color="000000" w:sz="2" w:space="0"/>
              <w:bottom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b w:val="0"/>
                <w:bCs/>
                <w:sz w:val="21"/>
                <w:szCs w:val="21"/>
                <w:lang w:val="en-US" w:eastAsia="zh-CN"/>
              </w:rPr>
              <w:t>达州市</w:t>
            </w:r>
            <w:r>
              <w:rPr>
                <w:rFonts w:hint="default" w:ascii="Times New Roman" w:hAnsi="Times New Roman" w:cs="Times New Roman"/>
                <w:b w:val="0"/>
                <w:bCs/>
                <w:sz w:val="21"/>
                <w:szCs w:val="21"/>
                <w:lang w:val="en-US"/>
              </w:rPr>
              <w:t>生态环境</w:t>
            </w:r>
            <w:r>
              <w:rPr>
                <w:rFonts w:hint="default" w:ascii="Times New Roman" w:hAnsi="Times New Roman" w:cs="Times New Roman"/>
                <w:b w:val="0"/>
                <w:bCs/>
                <w:sz w:val="21"/>
                <w:szCs w:val="21"/>
                <w:lang w:val="en-US" w:eastAsia="zh-CN"/>
              </w:rPr>
              <w:t>局</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1303" w:type="dxa"/>
            <w:tcBorders>
              <w:top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设计阶段</w:t>
            </w:r>
          </w:p>
        </w:tc>
        <w:tc>
          <w:tcPr>
            <w:tcW w:w="2022" w:type="dxa"/>
            <w:tcBorders>
              <w:top w:val="single" w:color="000000" w:sz="2" w:space="0"/>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环境保护工程设计</w:t>
            </w:r>
          </w:p>
        </w:tc>
        <w:tc>
          <w:tcPr>
            <w:tcW w:w="1339" w:type="dxa"/>
            <w:tcBorders>
              <w:top w:val="single" w:color="000000" w:sz="2" w:space="0"/>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w:t>
            </w:r>
          </w:p>
        </w:tc>
        <w:tc>
          <w:tcPr>
            <w:tcW w:w="1915" w:type="dxa"/>
            <w:tcBorders>
              <w:top w:val="single" w:color="000000" w:sz="2" w:space="0"/>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c>
          <w:tcPr>
            <w:tcW w:w="2476" w:type="dxa"/>
            <w:vMerge w:val="continue"/>
            <w:tcBorders>
              <w:top w:val="nil"/>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719" w:hRule="atLeast"/>
          <w:jc w:val="center"/>
        </w:trPr>
        <w:tc>
          <w:tcPr>
            <w:tcW w:w="1303" w:type="dxa"/>
            <w:tcBorders>
              <w:top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施工阶段</w:t>
            </w:r>
          </w:p>
        </w:tc>
        <w:tc>
          <w:tcPr>
            <w:tcW w:w="2022" w:type="dxa"/>
            <w:tcBorders>
              <w:top w:val="single" w:color="000000" w:sz="2" w:space="0"/>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实施环保护措施及工程建设，处理突发性环境问题</w:t>
            </w:r>
          </w:p>
        </w:tc>
        <w:tc>
          <w:tcPr>
            <w:tcW w:w="1339" w:type="dxa"/>
            <w:tcBorders>
              <w:top w:val="single" w:color="000000" w:sz="2" w:space="0"/>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建设单位施工单位</w:t>
            </w:r>
          </w:p>
        </w:tc>
        <w:tc>
          <w:tcPr>
            <w:tcW w:w="1915" w:type="dxa"/>
            <w:tcBorders>
              <w:top w:val="single" w:color="000000" w:sz="2" w:space="0"/>
              <w:left w:val="single" w:color="000000" w:sz="2" w:space="0"/>
              <w:bottom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c>
          <w:tcPr>
            <w:tcW w:w="2476" w:type="dxa"/>
            <w:tcBorders>
              <w:top w:val="single" w:color="000000" w:sz="2" w:space="0"/>
              <w:left w:val="single" w:color="000000" w:sz="2" w:space="0"/>
              <w:bottom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b w:val="0"/>
                <w:bCs/>
                <w:sz w:val="21"/>
                <w:szCs w:val="21"/>
                <w:lang w:val="en-US" w:eastAsia="zh-CN"/>
              </w:rPr>
              <w:t>渠县</w:t>
            </w:r>
            <w:r>
              <w:rPr>
                <w:rFonts w:hint="default" w:ascii="Times New Roman" w:hAnsi="Times New Roman" w:cs="Times New Roman"/>
                <w:b w:val="0"/>
                <w:bCs/>
                <w:sz w:val="21"/>
                <w:szCs w:val="21"/>
                <w:lang w:val="en-US"/>
              </w:rPr>
              <w:t>生态环境局</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718" w:hRule="atLeast"/>
          <w:jc w:val="center"/>
        </w:trPr>
        <w:tc>
          <w:tcPr>
            <w:tcW w:w="1303" w:type="dxa"/>
            <w:tcBorders>
              <w:top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w:t>
            </w:r>
          </w:p>
        </w:tc>
        <w:tc>
          <w:tcPr>
            <w:tcW w:w="2022" w:type="dxa"/>
            <w:tcBorders>
              <w:top w:val="single" w:color="000000" w:sz="2" w:space="0"/>
              <w:left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环境监测及日常环境管理</w:t>
            </w:r>
          </w:p>
        </w:tc>
        <w:tc>
          <w:tcPr>
            <w:tcW w:w="1339" w:type="dxa"/>
            <w:tcBorders>
              <w:top w:val="single" w:color="000000" w:sz="2" w:space="0"/>
              <w:left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c>
          <w:tcPr>
            <w:tcW w:w="1915" w:type="dxa"/>
            <w:tcBorders>
              <w:top w:val="single" w:color="000000" w:sz="2" w:space="0"/>
              <w:left w:val="single" w:color="000000" w:sz="2" w:space="0"/>
              <w:righ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地方生态环境部门</w:t>
            </w:r>
          </w:p>
        </w:tc>
        <w:tc>
          <w:tcPr>
            <w:tcW w:w="2476" w:type="dxa"/>
            <w:tcBorders>
              <w:top w:val="single" w:color="000000" w:sz="2" w:space="0"/>
              <w:left w:val="single" w:color="000000" w:sz="2"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b w:val="0"/>
                <w:bCs/>
                <w:sz w:val="21"/>
                <w:szCs w:val="21"/>
                <w:lang w:val="en-US" w:eastAsia="zh-CN"/>
              </w:rPr>
              <w:t>渠县</w:t>
            </w:r>
            <w:r>
              <w:rPr>
                <w:rFonts w:hint="default" w:ascii="Times New Roman" w:hAnsi="Times New Roman" w:cs="Times New Roman"/>
                <w:b w:val="0"/>
                <w:bCs/>
                <w:sz w:val="21"/>
                <w:szCs w:val="21"/>
                <w:lang w:val="en-US"/>
              </w:rPr>
              <w:t>生态环境局</w:t>
            </w:r>
          </w:p>
        </w:tc>
      </w:tr>
    </w:tbl>
    <w:p>
      <w:pPr>
        <w:bidi w:val="0"/>
        <w:rPr>
          <w:rFonts w:hint="default"/>
          <w:lang w:val="en-US" w:eastAsia="zh-CN"/>
        </w:rPr>
      </w:pP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eastAsia="黑体" w:cs="Times New Roman"/>
          <w:sz w:val="24"/>
          <w:szCs w:val="24"/>
          <w:lang w:val="en-US" w:eastAsia="zh-CN"/>
        </w:rPr>
      </w:pPr>
      <w:r>
        <w:rPr>
          <w:rFonts w:hint="default" w:ascii="Times New Roman" w:hAnsi="Times New Roman" w:cs="Times New Roman"/>
          <w:sz w:val="24"/>
          <w:szCs w:val="24"/>
          <w:lang w:val="en-US" w:eastAsia="zh-CN"/>
        </w:rPr>
        <w:t>8.1.3.环境管理计划</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本项目环境管理计划详见下表</w:t>
      </w:r>
    </w:p>
    <w:p>
      <w:pPr>
        <w:tabs>
          <w:tab w:val="left" w:pos="3998"/>
        </w:tabs>
        <w:spacing w:before="0" w:after="30" w:line="268" w:lineRule="exact"/>
        <w:ind w:left="3086" w:right="0" w:firstLine="0"/>
        <w:jc w:val="left"/>
        <w:rPr>
          <w:rFonts w:hint="default" w:ascii="Times New Roman" w:hAnsi="Times New Roman" w:cs="Times New Roman"/>
          <w:b/>
          <w:sz w:val="21"/>
        </w:rPr>
      </w:pPr>
      <w:r>
        <w:rPr>
          <w:rFonts w:hint="default" w:ascii="Times New Roman" w:hAnsi="Times New Roman" w:cs="Times New Roman"/>
          <w:b/>
          <w:sz w:val="21"/>
        </w:rPr>
        <w:t xml:space="preserve">表 </w:t>
      </w:r>
      <w:r>
        <w:rPr>
          <w:rFonts w:hint="default" w:ascii="Times New Roman" w:hAnsi="Times New Roman" w:cs="Times New Roman"/>
          <w:b/>
          <w:sz w:val="21"/>
          <w:lang w:val="en-US" w:eastAsia="zh-CN"/>
        </w:rPr>
        <w:t>8</w:t>
      </w:r>
      <w:r>
        <w:rPr>
          <w:rFonts w:hint="default" w:ascii="Times New Roman" w:hAnsi="Times New Roman" w:cs="Times New Roman"/>
          <w:b/>
          <w:sz w:val="21"/>
        </w:rPr>
        <w:t>.1-2</w:t>
      </w:r>
      <w:r>
        <w:rPr>
          <w:rFonts w:hint="default" w:ascii="Times New Roman" w:hAnsi="Times New Roman" w:cs="Times New Roman"/>
          <w:b/>
          <w:sz w:val="21"/>
        </w:rPr>
        <w:tab/>
      </w:r>
      <w:r>
        <w:rPr>
          <w:rFonts w:hint="default" w:ascii="Times New Roman" w:hAnsi="Times New Roman" w:cs="Times New Roman"/>
          <w:b/>
          <w:sz w:val="21"/>
        </w:rPr>
        <w:t>项目环境管理计划</w:t>
      </w:r>
    </w:p>
    <w:tbl>
      <w:tblPr>
        <w:tblStyle w:val="17"/>
        <w:tblW w:w="4764"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351"/>
        <w:gridCol w:w="1051"/>
        <w:gridCol w:w="5718"/>
        <w:gridCol w:w="1008"/>
        <w:gridCol w:w="946"/>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rPr>
          <w:trHeight w:val="342" w:hRule="atLeast"/>
          <w:jc w:val="center"/>
        </w:trPr>
        <w:tc>
          <w:tcPr>
            <w:tcW w:w="1401" w:type="dxa"/>
            <w:gridSpan w:val="2"/>
            <w:tcBorders>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环境问题</w:t>
            </w:r>
          </w:p>
        </w:tc>
        <w:tc>
          <w:tcPr>
            <w:tcW w:w="5712"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管理内容</w:t>
            </w:r>
          </w:p>
        </w:tc>
        <w:tc>
          <w:tcPr>
            <w:tcW w:w="1007"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实施机构</w:t>
            </w:r>
          </w:p>
        </w:tc>
        <w:tc>
          <w:tcPr>
            <w:tcW w:w="944" w:type="dxa"/>
            <w:tcBorders>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管理机构</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8713" w:type="dxa"/>
            <w:gridSpan w:val="4"/>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rPr>
              <w:t>设计阶段</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82"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公路选线</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合理选择路线方案，尽量减少占地，保护农田，减轻居民区大气和噪声污染影响。尽可能避让城镇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学校和居民点等环境敏感目标</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设计单位环评单位</w:t>
            </w:r>
          </w:p>
        </w:tc>
        <w:tc>
          <w:tcPr>
            <w:tcW w:w="944" w:type="dxa"/>
            <w:vMerge w:val="restart"/>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6"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土壤侵蚀</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设计时合理选择弃渣场，考虑在公路边坡和沿线植树种草，并设置挡土墙</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截水沟</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浆砌片石等，防止土壤侵蚀</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环评单位</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空气污染</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在确定采石场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废弃物堆置场位置时，考虑尘埃和其他问题对环境敏感地区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如居民区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的影响</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设计单位环评单位</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717"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对噪声超标的敏感点，视噪声超标情况进行减噪措施设计，如采取隔声窗</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声屏障和拆迁再安置等措施，减少营运近期和中期交通噪声污染影响</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设计单位环评单位</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文物古迹</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制订施工期文物保护措施，避免工程施工可能造成的文物损失</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文物部门</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公路阻隔</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●在适当路段设置通道，减少对居民生活影响及物种阻隔。</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80"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征地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拆迁安置</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少量拆迁户实施就近安置的措施，基本农田不予以占用</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项目征地拆迁机构</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6"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景观保护</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选线应精心研究，绿化设计，减少对沿线自然景观的影响</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环评单位</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针对涉及水体路段进行径流收集及处理设计</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设计单位环评单位</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8"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8713" w:type="dxa"/>
            <w:gridSpan w:val="4"/>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66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灰尘</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空气污染</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靠近居民点的地方采取合理的措施，包括洒水，以降低施工期道路扬尘，减少大气污染。洒水次数视当地土质</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天气情况决定料堆和贮料场须遮盖或洒水以防止尘埃污染。运送建筑材料的卡车采用帆布等遮盖措施，减少跑漏</w:t>
            </w:r>
            <w:r>
              <w:rPr>
                <w:rFonts w:hint="eastAsia" w:eastAsia="宋体" w:cs="Times New Roman"/>
                <w:sz w:val="21"/>
                <w:szCs w:val="21"/>
                <w:lang w:eastAsia="zh-CN"/>
              </w:rPr>
              <w:t>，</w:t>
            </w:r>
            <w:r>
              <w:rPr>
                <w:rFonts w:hint="default" w:ascii="Times New Roman" w:hAnsi="Times New Roman" w:eastAsia="宋体" w:cs="Times New Roman"/>
                <w:sz w:val="21"/>
                <w:szCs w:val="21"/>
              </w:rPr>
              <w:t>施工现场及运料道路在无雨的天气定期洒水，防止尘土飞扬</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restart"/>
            <w:tcBorders>
              <w:top w:val="single" w:color="000000" w:sz="4" w:space="0"/>
              <w:lef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715" w:hRule="atLeast"/>
          <w:jc w:val="center"/>
        </w:trPr>
        <w:tc>
          <w:tcPr>
            <w:tcW w:w="351" w:type="dxa"/>
            <w:tcBorders>
              <w:top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1050"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土壤侵蚀水污染</w:t>
            </w:r>
          </w:p>
        </w:tc>
        <w:tc>
          <w:tcPr>
            <w:tcW w:w="5712"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路基边坡及时护坡，防止雨水冲刷造成水土流失</w:t>
            </w:r>
            <w:r>
              <w:rPr>
                <w:rFonts w:hint="eastAsia" w:eastAsia="宋体" w:cs="Times New Roman"/>
                <w:sz w:val="21"/>
                <w:szCs w:val="21"/>
                <w:lang w:eastAsia="zh-CN"/>
              </w:rPr>
              <w:t>；</w:t>
            </w:r>
            <w:r>
              <w:rPr>
                <w:rFonts w:hint="default" w:ascii="Times New Roman" w:hAnsi="Times New Roman" w:eastAsia="宋体" w:cs="Times New Roman"/>
                <w:sz w:val="21"/>
                <w:szCs w:val="21"/>
              </w:rPr>
              <w:t>弃渣场完工后应及时进行复垦或植树种草，减少水土流失</w:t>
            </w:r>
            <w:r>
              <w:rPr>
                <w:rFonts w:hint="eastAsia" w:eastAsia="宋体" w:cs="Times New Roman"/>
                <w:sz w:val="21"/>
                <w:szCs w:val="21"/>
                <w:lang w:eastAsia="zh-CN"/>
              </w:rPr>
              <w:t>；</w:t>
            </w:r>
            <w:r>
              <w:rPr>
                <w:rFonts w:hint="default" w:ascii="Times New Roman" w:hAnsi="Times New Roman" w:eastAsia="宋体" w:cs="Times New Roman"/>
                <w:sz w:val="21"/>
                <w:szCs w:val="21"/>
              </w:rPr>
              <w:t>防止泥土和石块进入和阻塞河流或现有的灌溉和排水系统</w:t>
            </w:r>
            <w:r>
              <w:rPr>
                <w:rFonts w:hint="eastAsia" w:eastAsia="宋体" w:cs="Times New Roman"/>
                <w:sz w:val="21"/>
                <w:szCs w:val="21"/>
                <w:lang w:eastAsia="zh-CN"/>
              </w:rPr>
              <w:t>；</w:t>
            </w:r>
            <w:r>
              <w:rPr>
                <w:rFonts w:hint="default" w:ascii="Times New Roman" w:hAnsi="Times New Roman" w:eastAsia="宋体" w:cs="Times New Roman"/>
                <w:sz w:val="21"/>
                <w:szCs w:val="21"/>
              </w:rPr>
              <w:t>须采取所有合理措施，如沉淀池</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隔油池</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化粪池等防止向河流和灌溉水渠直接排放施工废水</w:t>
            </w:r>
            <w:r>
              <w:rPr>
                <w:rFonts w:hint="eastAsia" w:eastAsia="宋体" w:cs="Times New Roman"/>
                <w:sz w:val="21"/>
                <w:szCs w:val="21"/>
                <w:lang w:eastAsia="zh-CN"/>
              </w:rPr>
              <w:t>；</w:t>
            </w:r>
            <w:r>
              <w:rPr>
                <w:rFonts w:hint="default" w:ascii="Times New Roman" w:hAnsi="Times New Roman" w:eastAsia="宋体" w:cs="Times New Roman"/>
                <w:sz w:val="21"/>
                <w:szCs w:val="21"/>
              </w:rPr>
              <w:t>施工废水和施工涌水需采取合理的导流措施进行导流</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收集，防止直接散排</w:t>
            </w:r>
            <w:r>
              <w:rPr>
                <w:rFonts w:hint="eastAsia" w:eastAsia="宋体" w:cs="Times New Roman"/>
                <w:sz w:val="21"/>
                <w:szCs w:val="21"/>
                <w:lang w:eastAsia="zh-CN"/>
              </w:rPr>
              <w:t>；</w:t>
            </w:r>
            <w:r>
              <w:rPr>
                <w:rFonts w:hint="default" w:ascii="Times New Roman" w:hAnsi="Times New Roman" w:eastAsia="宋体" w:cs="Times New Roman"/>
                <w:sz w:val="21"/>
                <w:szCs w:val="21"/>
              </w:rPr>
              <w:t>选用先进桥梁施工工艺防止污染河水以及施工垃圾等掉入河中对水质的污染</w:t>
            </w:r>
            <w:r>
              <w:rPr>
                <w:rFonts w:hint="eastAsia" w:eastAsia="宋体" w:cs="Times New Roman"/>
                <w:sz w:val="21"/>
                <w:szCs w:val="21"/>
                <w:lang w:eastAsia="zh-CN"/>
              </w:rPr>
              <w:t>；</w:t>
            </w:r>
            <w:r>
              <w:rPr>
                <w:rFonts w:hint="default" w:ascii="Times New Roman" w:hAnsi="Times New Roman" w:eastAsia="宋体" w:cs="Times New Roman"/>
                <w:sz w:val="21"/>
                <w:szCs w:val="21"/>
              </w:rPr>
              <w:t>施工管理区生活污水</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生活垃圾集中处理，不得直接排入水体。生活污水收集处理后用于农灌及作农肥，生活垃圾设集中收集箱</w:t>
            </w:r>
            <w:r>
              <w:rPr>
                <w:rFonts w:hint="eastAsia" w:eastAsia="宋体" w:cs="Times New Roman"/>
                <w:sz w:val="21"/>
                <w:szCs w:val="21"/>
                <w:lang w:eastAsia="zh-CN"/>
              </w:rPr>
              <w:t>；</w:t>
            </w:r>
            <w:r>
              <w:rPr>
                <w:rFonts w:hint="default" w:ascii="Times New Roman" w:hAnsi="Times New Roman" w:eastAsia="宋体" w:cs="Times New Roman"/>
                <w:sz w:val="21"/>
                <w:szCs w:val="21"/>
              </w:rPr>
              <w:t>机械油料的泄漏，进入水体后将会引起水污染，所以应加强环境管理，开展环保教育</w:t>
            </w:r>
            <w:r>
              <w:rPr>
                <w:rFonts w:hint="eastAsia" w:eastAsia="宋体" w:cs="Times New Roman"/>
                <w:sz w:val="21"/>
                <w:szCs w:val="21"/>
                <w:lang w:eastAsia="zh-CN"/>
              </w:rPr>
              <w:t>；</w:t>
            </w:r>
            <w:r>
              <w:rPr>
                <w:rFonts w:hint="default" w:ascii="Times New Roman" w:hAnsi="Times New Roman" w:eastAsia="宋体" w:cs="Times New Roman"/>
                <w:sz w:val="21"/>
                <w:szCs w:val="21"/>
              </w:rPr>
              <w:t>采取防雨布</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草栅等遮盖措施对施工临时场地进行遮盖，防止面源流失</w:t>
            </w:r>
            <w:r>
              <w:rPr>
                <w:rFonts w:hint="eastAsia" w:eastAsia="宋体" w:cs="Times New Roman"/>
                <w:sz w:val="21"/>
                <w:szCs w:val="21"/>
                <w:lang w:eastAsia="zh-CN"/>
              </w:rPr>
              <w:t>；</w:t>
            </w:r>
            <w:r>
              <w:rPr>
                <w:rFonts w:hint="default" w:ascii="Times New Roman" w:hAnsi="Times New Roman" w:eastAsia="宋体" w:cs="Times New Roman"/>
                <w:sz w:val="21"/>
                <w:szCs w:val="21"/>
              </w:rPr>
              <w:t>严禁向水域排放污水</w:t>
            </w:r>
          </w:p>
        </w:tc>
        <w:tc>
          <w:tcPr>
            <w:tcW w:w="1007"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continue"/>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19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严格执行工业企业噪声标准以防止公路施工人员受噪声侵害，靠近强声源的工人将戴上耳塞和头盔，并限制工作时间施工作业应避免在夜间</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22：00-6：00</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进行</w:t>
            </w:r>
            <w:r>
              <w:rPr>
                <w:rFonts w:hint="eastAsia" w:eastAsia="宋体" w:cs="Times New Roman"/>
                <w:sz w:val="21"/>
                <w:szCs w:val="21"/>
                <w:lang w:eastAsia="zh-CN"/>
              </w:rPr>
              <w:t>；</w:t>
            </w:r>
            <w:r>
              <w:rPr>
                <w:rFonts w:hint="default" w:ascii="Times New Roman" w:hAnsi="Times New Roman" w:eastAsia="宋体" w:cs="Times New Roman"/>
                <w:sz w:val="21"/>
                <w:szCs w:val="21"/>
              </w:rPr>
              <w:t>加强机械和车辆的维修和保养，保持其较低噪声水平</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restart"/>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037"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生态资源保护</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施工过程中严格控制施工作业带宽度，制定合理的施工组织计划。施工过程中，在能产生雨水地面径流处开挖路基时，应设置临时性的土沉淀池，以拦截泥沙。待路建成涵管铺设完毕，将土沉淀池推平绿化或还耕</w:t>
            </w:r>
            <w:r>
              <w:rPr>
                <w:rFonts w:hint="eastAsia" w:eastAsia="宋体" w:cs="Times New Roman"/>
                <w:sz w:val="21"/>
                <w:szCs w:val="21"/>
                <w:lang w:eastAsia="zh-CN"/>
              </w:rPr>
              <w:t>；</w:t>
            </w:r>
            <w:r>
              <w:rPr>
                <w:rFonts w:hint="default" w:ascii="Times New Roman" w:hAnsi="Times New Roman" w:eastAsia="宋体" w:cs="Times New Roman"/>
                <w:sz w:val="21"/>
                <w:szCs w:val="21"/>
              </w:rPr>
              <w:t>公路两侧弃渣，要与当地农田规划相结合，弃渣之前应与当地群众协商，做好防护设计</w:t>
            </w:r>
            <w:r>
              <w:rPr>
                <w:rFonts w:hint="eastAsia" w:eastAsia="宋体" w:cs="Times New Roman"/>
                <w:sz w:val="21"/>
                <w:szCs w:val="21"/>
                <w:lang w:eastAsia="zh-CN"/>
              </w:rPr>
              <w:t>；</w:t>
            </w:r>
            <w:r>
              <w:rPr>
                <w:rFonts w:hint="default" w:ascii="Times New Roman" w:hAnsi="Times New Roman" w:eastAsia="宋体" w:cs="Times New Roman"/>
                <w:sz w:val="21"/>
                <w:szCs w:val="21"/>
              </w:rPr>
              <w:t>临时占地应尽可能少</w:t>
            </w:r>
            <w:r>
              <w:rPr>
                <w:rFonts w:hint="eastAsia" w:eastAsia="宋体" w:cs="Times New Roman"/>
                <w:sz w:val="21"/>
                <w:szCs w:val="21"/>
                <w:lang w:eastAsia="zh-CN"/>
              </w:rPr>
              <w:t>；</w:t>
            </w:r>
            <w:r>
              <w:rPr>
                <w:rFonts w:hint="default" w:ascii="Times New Roman" w:hAnsi="Times New Roman" w:eastAsia="宋体" w:cs="Times New Roman"/>
                <w:sz w:val="21"/>
                <w:szCs w:val="21"/>
              </w:rPr>
              <w:t>筑路与绿化</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护坡</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修排水沟应同时施工</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同时交工验收</w:t>
            </w:r>
            <w:r>
              <w:rPr>
                <w:rFonts w:hint="eastAsia" w:eastAsia="宋体" w:cs="Times New Roman"/>
                <w:sz w:val="21"/>
                <w:szCs w:val="21"/>
                <w:lang w:eastAsia="zh-CN"/>
              </w:rPr>
              <w:t>；</w:t>
            </w:r>
            <w:r>
              <w:rPr>
                <w:rFonts w:hint="default" w:ascii="Times New Roman" w:hAnsi="Times New Roman" w:eastAsia="宋体" w:cs="Times New Roman"/>
                <w:sz w:val="21"/>
                <w:szCs w:val="21"/>
              </w:rPr>
              <w:t>施工临时占地应将原有土地表层耕作熟土推在一旁堆放，待施工完毕将这些熟土再推平，回复土地表层以利于生物的多样化</w:t>
            </w:r>
            <w:r>
              <w:rPr>
                <w:rFonts w:hint="eastAsia" w:eastAsia="宋体" w:cs="Times New Roman"/>
                <w:sz w:val="21"/>
                <w:szCs w:val="21"/>
                <w:lang w:eastAsia="zh-CN"/>
              </w:rPr>
              <w:t>；</w:t>
            </w:r>
            <w:r>
              <w:rPr>
                <w:rFonts w:hint="default" w:ascii="Times New Roman" w:hAnsi="Times New Roman" w:eastAsia="宋体" w:cs="Times New Roman"/>
                <w:sz w:val="21"/>
                <w:szCs w:val="21"/>
              </w:rPr>
              <w:t>对工人加强生态环境保护教育，禁止在项目区偷猎</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捕鱼及乱砍乱伐树木</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71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景观保护</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弃渣场及时恢复绿化</w:t>
            </w:r>
            <w:r>
              <w:rPr>
                <w:rFonts w:hint="eastAsia" w:eastAsia="宋体" w:cs="Times New Roman"/>
                <w:sz w:val="21"/>
                <w:szCs w:val="21"/>
                <w:lang w:eastAsia="zh-CN"/>
              </w:rPr>
              <w:t>；</w:t>
            </w:r>
            <w:r>
              <w:rPr>
                <w:rFonts w:hint="default" w:ascii="Times New Roman" w:hAnsi="Times New Roman" w:eastAsia="宋体" w:cs="Times New Roman"/>
                <w:sz w:val="21"/>
                <w:szCs w:val="21"/>
              </w:rPr>
              <w:t>路基边坡和边坡绿化按景观设计进行与周围环境相协调的绿化</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5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文物保护</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过程中如发现文物应立即停止土方挖掘工程，并上报文物部门，保护现场，待文物部门处理后再进行施工。在主管部门结束文物鉴定工作并采取必要的保护措施前，挖掘工程不得重新进行。控制施工作业带宽度，合理选择爆破点，设置隔振沟。</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598"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施工驻地</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加强对施工驻地的施工管理和施工人员的环境教育</w:t>
            </w:r>
            <w:r>
              <w:rPr>
                <w:rFonts w:hint="eastAsia" w:eastAsia="宋体" w:cs="Times New Roman"/>
                <w:sz w:val="21"/>
                <w:szCs w:val="21"/>
                <w:lang w:eastAsia="zh-CN"/>
              </w:rPr>
              <w:t>；</w:t>
            </w:r>
            <w:r>
              <w:rPr>
                <w:rFonts w:hint="default" w:ascii="Times New Roman" w:hAnsi="Times New Roman" w:eastAsia="宋体" w:cs="Times New Roman"/>
                <w:sz w:val="21"/>
                <w:szCs w:val="21"/>
              </w:rPr>
              <w:t>施工驻地生活污水</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施工机械废水不得随意排放，定期处理，集中排放</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在施工驻地应设置垃圾箱和卫生处理设施</w:t>
            </w:r>
            <w:r>
              <w:rPr>
                <w:rFonts w:hint="eastAsia" w:eastAsia="宋体" w:cs="Times New Roman"/>
                <w:sz w:val="21"/>
                <w:szCs w:val="21"/>
                <w:lang w:eastAsia="zh-CN"/>
              </w:rPr>
              <w:t>，</w:t>
            </w:r>
            <w:r>
              <w:rPr>
                <w:rFonts w:hint="default" w:ascii="Times New Roman" w:hAnsi="Times New Roman" w:eastAsia="宋体" w:cs="Times New Roman"/>
                <w:sz w:val="21"/>
                <w:szCs w:val="21"/>
              </w:rPr>
              <w:t>防止生活污水和固体废弃物污染水体</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43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施工安全</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为保证施工安全，施工期间在临时道路上应设置安全标志</w:t>
            </w:r>
            <w:r>
              <w:rPr>
                <w:rFonts w:hint="eastAsia" w:eastAsia="宋体" w:cs="Times New Roman"/>
                <w:sz w:val="21"/>
                <w:szCs w:val="21"/>
                <w:lang w:eastAsia="zh-CN"/>
              </w:rPr>
              <w:t>；</w:t>
            </w:r>
            <w:r>
              <w:rPr>
                <w:rFonts w:hint="default" w:ascii="Times New Roman" w:hAnsi="Times New Roman" w:eastAsia="宋体" w:cs="Times New Roman"/>
                <w:sz w:val="21"/>
                <w:szCs w:val="21"/>
              </w:rPr>
              <w:t>施工路段</w:t>
            </w:r>
            <w:r>
              <w:rPr>
                <w:rFonts w:hint="eastAsia" w:ascii="Times New Roman" w:hAnsi="Times New Roman" w:eastAsia="宋体" w:cs="Times New Roman"/>
                <w:sz w:val="21"/>
                <w:szCs w:val="21"/>
                <w:lang w:eastAsia="zh-CN"/>
              </w:rPr>
              <w:t>设置</w:t>
            </w:r>
            <w:r>
              <w:rPr>
                <w:rFonts w:hint="default" w:ascii="Times New Roman" w:hAnsi="Times New Roman" w:eastAsia="宋体" w:cs="Times New Roman"/>
                <w:sz w:val="21"/>
                <w:szCs w:val="21"/>
              </w:rPr>
              <w:t>执勤岗，疏导交通，保证行人安全</w:t>
            </w:r>
            <w:r>
              <w:rPr>
                <w:rFonts w:hint="eastAsia" w:eastAsia="宋体" w:cs="Times New Roman"/>
                <w:sz w:val="21"/>
                <w:szCs w:val="21"/>
                <w:lang w:eastAsia="zh-CN"/>
              </w:rPr>
              <w:t>；</w:t>
            </w:r>
            <w:r>
              <w:rPr>
                <w:rFonts w:hint="default" w:ascii="Times New Roman" w:hAnsi="Times New Roman" w:eastAsia="宋体" w:cs="Times New Roman"/>
                <w:sz w:val="21"/>
                <w:szCs w:val="21"/>
              </w:rPr>
              <w:t>施工期间，为降低事故发生率，应采取有效的安全和警告措施。爆破时，应规定信号并加强保卫工作。爆破前进行彻底检查。在工作繁忙期不进行爆破，以免交通阻塞和人员伤亡</w:t>
            </w:r>
            <w:r>
              <w:rPr>
                <w:rFonts w:hint="eastAsia" w:eastAsia="宋体" w:cs="Times New Roman"/>
                <w:sz w:val="21"/>
                <w:szCs w:val="21"/>
                <w:lang w:eastAsia="zh-CN"/>
              </w:rPr>
              <w:t>，</w:t>
            </w:r>
            <w:r>
              <w:rPr>
                <w:rFonts w:hint="default" w:ascii="Times New Roman" w:hAnsi="Times New Roman" w:eastAsia="宋体" w:cs="Times New Roman"/>
                <w:sz w:val="21"/>
                <w:szCs w:val="21"/>
              </w:rPr>
              <w:t>做好施工人员的健康防护工作，如施工期疾病预防等</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43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运输管理</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建筑材料的运送路线应仔细选定，避免长途运输，应尽量避免影响现有的交通设施，减少尘埃和噪声污染</w:t>
            </w:r>
            <w:r>
              <w:rPr>
                <w:rFonts w:hint="eastAsia" w:eastAsia="宋体" w:cs="Times New Roman"/>
                <w:sz w:val="21"/>
                <w:szCs w:val="21"/>
                <w:lang w:eastAsia="zh-CN"/>
              </w:rPr>
              <w:t>；</w:t>
            </w:r>
            <w:r>
              <w:rPr>
                <w:rFonts w:hint="default" w:ascii="Times New Roman" w:hAnsi="Times New Roman" w:eastAsia="宋体" w:cs="Times New Roman"/>
                <w:sz w:val="21"/>
                <w:szCs w:val="21"/>
              </w:rPr>
              <w:t>咨询交通和公安部门，指导交通运行，施工期间防止交通阻塞和降低其运输效率</w:t>
            </w:r>
            <w:r>
              <w:rPr>
                <w:rFonts w:hint="eastAsia" w:eastAsia="宋体" w:cs="Times New Roman"/>
                <w:sz w:val="21"/>
                <w:szCs w:val="21"/>
                <w:lang w:eastAsia="zh-CN"/>
              </w:rPr>
              <w:t>；</w:t>
            </w:r>
            <w:r>
              <w:rPr>
                <w:rFonts w:hint="default" w:ascii="Times New Roman" w:hAnsi="Times New Roman" w:eastAsia="宋体" w:cs="Times New Roman"/>
                <w:sz w:val="21"/>
                <w:szCs w:val="21"/>
              </w:rPr>
              <w:t>铺设横穿现有道路的临时施工道路</w:t>
            </w:r>
            <w:r>
              <w:rPr>
                <w:rFonts w:hint="eastAsia" w:eastAsia="宋体" w:cs="Times New Roman"/>
                <w:sz w:val="21"/>
                <w:szCs w:val="21"/>
                <w:lang w:eastAsia="zh-CN"/>
              </w:rPr>
              <w:t>；</w:t>
            </w:r>
            <w:r>
              <w:rPr>
                <w:rFonts w:hint="default" w:ascii="Times New Roman" w:hAnsi="Times New Roman" w:eastAsia="宋体" w:cs="Times New Roman"/>
                <w:sz w:val="21"/>
                <w:szCs w:val="21"/>
              </w:rPr>
              <w:t>制订合适的建筑材料运输计划，避开现有道路交通高峰</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720"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振动监控</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在村庄附近强振动施工</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如桥墩夯实</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振荡式压路机操作等</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，对临近施工现场的土坯民房应进行监控，防止事故发生</w:t>
            </w:r>
            <w:r>
              <w:rPr>
                <w:rFonts w:hint="eastAsia" w:eastAsia="宋体" w:cs="Times New Roman"/>
                <w:sz w:val="21"/>
                <w:szCs w:val="21"/>
                <w:lang w:eastAsia="zh-CN"/>
              </w:rPr>
              <w:t>；</w:t>
            </w:r>
            <w:r>
              <w:rPr>
                <w:rFonts w:hint="default" w:ascii="Times New Roman" w:hAnsi="Times New Roman" w:eastAsia="宋体" w:cs="Times New Roman"/>
                <w:sz w:val="21"/>
                <w:szCs w:val="21"/>
              </w:rPr>
              <w:t>对确受工程施工振动影响较大的民房应采取必要的补救措施</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承包商</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7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施工监理</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根据审查批复的环境影响报告书和环境工程施工图设计进行施工期环境监理</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监理单位</w:t>
            </w:r>
          </w:p>
        </w:tc>
        <w:tc>
          <w:tcPr>
            <w:tcW w:w="944" w:type="dxa"/>
            <w:vMerge w:val="continue"/>
            <w:tcBorders>
              <w:top w:val="nil"/>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8"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c>
          <w:tcPr>
            <w:tcW w:w="8713" w:type="dxa"/>
            <w:gridSpan w:val="4"/>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81" w:hRule="atLeast"/>
          <w:jc w:val="center"/>
        </w:trPr>
        <w:tc>
          <w:tcPr>
            <w:tcW w:w="351" w:type="dxa"/>
            <w:tcBorders>
              <w:top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1050"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地方规划</w:t>
            </w:r>
          </w:p>
        </w:tc>
        <w:tc>
          <w:tcPr>
            <w:tcW w:w="5712"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拟建项目路中心线两侧噪声不达标范围内不要批准新建居民区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学校</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医院等对声环境质量要求高的建筑物</w:t>
            </w:r>
          </w:p>
        </w:tc>
        <w:tc>
          <w:tcPr>
            <w:tcW w:w="1007"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地方政府</w:t>
            </w:r>
          </w:p>
        </w:tc>
        <w:tc>
          <w:tcPr>
            <w:tcW w:w="944" w:type="dxa"/>
            <w:tcBorders>
              <w:top w:val="single" w:color="000000" w:sz="4" w:space="0"/>
              <w:lef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运营</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18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学校</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居民点集中分布路段应设警示标志</w:t>
            </w:r>
            <w:r>
              <w:rPr>
                <w:rFonts w:hint="eastAsia" w:eastAsia="宋体" w:cs="Times New Roman"/>
                <w:sz w:val="21"/>
                <w:szCs w:val="21"/>
                <w:lang w:eastAsia="zh-CN"/>
              </w:rPr>
              <w:t>；</w:t>
            </w:r>
            <w:r>
              <w:rPr>
                <w:rFonts w:hint="default" w:ascii="Times New Roman" w:hAnsi="Times New Roman" w:eastAsia="宋体" w:cs="Times New Roman"/>
                <w:sz w:val="21"/>
                <w:szCs w:val="21"/>
              </w:rPr>
              <w:t>在噪声超标处应修建声屏障措施</w:t>
            </w:r>
            <w:r>
              <w:rPr>
                <w:rFonts w:hint="eastAsia" w:eastAsia="宋体" w:cs="Times New Roman"/>
                <w:sz w:val="21"/>
                <w:szCs w:val="21"/>
                <w:lang w:eastAsia="zh-CN"/>
              </w:rPr>
              <w:t>；</w:t>
            </w:r>
            <w:r>
              <w:rPr>
                <w:rFonts w:hint="default" w:ascii="Times New Roman" w:hAnsi="Times New Roman" w:eastAsia="宋体" w:cs="Times New Roman"/>
                <w:sz w:val="21"/>
                <w:szCs w:val="21"/>
              </w:rPr>
              <w:t>加强交通管理，出入口设监控站，禁止噪声过大的旧车上路</w:t>
            </w:r>
            <w:r>
              <w:rPr>
                <w:rFonts w:hint="eastAsia" w:eastAsia="宋体" w:cs="Times New Roman"/>
                <w:sz w:val="21"/>
                <w:szCs w:val="21"/>
                <w:lang w:eastAsia="zh-CN"/>
              </w:rPr>
              <w:t>；</w:t>
            </w:r>
            <w:r>
              <w:rPr>
                <w:rFonts w:hint="default" w:ascii="Times New Roman" w:hAnsi="Times New Roman" w:eastAsia="宋体" w:cs="Times New Roman"/>
                <w:sz w:val="21"/>
                <w:szCs w:val="21"/>
              </w:rPr>
              <w:t>根据监测结果，在噪声超标的敏感点应采用声屏障或其他合适的措施，减缓影响</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7"/>
                <w:sz w:val="21"/>
                <w:szCs w:val="21"/>
              </w:rPr>
              <w:t>公路管理处</w:t>
            </w:r>
          </w:p>
        </w:tc>
        <w:tc>
          <w:tcPr>
            <w:tcW w:w="944" w:type="dxa"/>
            <w:vMerge w:val="restart"/>
            <w:tcBorders>
              <w:top w:val="single" w:color="000000" w:sz="4" w:space="0"/>
              <w:lef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管理单位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0"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空气污染</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严格执行汽车排放车检制度，利用收费站对汽车排放状况进行抽查，限制尾气排放严重超标车辆上路</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7"/>
                <w:sz w:val="21"/>
                <w:szCs w:val="21"/>
              </w:rPr>
              <w:t>公路管理</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w:t>
            </w:r>
          </w:p>
        </w:tc>
        <w:tc>
          <w:tcPr>
            <w:tcW w:w="944" w:type="dxa"/>
            <w:vMerge w:val="continue"/>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179"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水体路段应建立环境风险应急响应机制及预案，严格控制经过车辆，同时加强营运期径流收集及处理系统维护管理，保障设施有效运行。</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7"/>
                <w:sz w:val="21"/>
                <w:szCs w:val="21"/>
              </w:rPr>
              <w:t>公路管理处</w:t>
            </w:r>
          </w:p>
        </w:tc>
        <w:tc>
          <w:tcPr>
            <w:tcW w:w="944" w:type="dxa"/>
            <w:vMerge w:val="continue"/>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420" w:hRule="atLeast"/>
          <w:jc w:val="center"/>
        </w:trPr>
        <w:tc>
          <w:tcPr>
            <w:tcW w:w="351" w:type="dxa"/>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05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车辆管理</w:t>
            </w:r>
          </w:p>
        </w:tc>
        <w:tc>
          <w:tcPr>
            <w:tcW w:w="571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加强车辆保养</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管理，使其处于良好技术状态</w:t>
            </w:r>
            <w:r>
              <w:rPr>
                <w:rFonts w:hint="eastAsia" w:eastAsia="宋体" w:cs="Times New Roman"/>
                <w:sz w:val="21"/>
                <w:szCs w:val="21"/>
                <w:lang w:eastAsia="zh-CN"/>
              </w:rPr>
              <w:t>；</w:t>
            </w:r>
            <w:r>
              <w:rPr>
                <w:rFonts w:hint="default" w:ascii="Times New Roman" w:hAnsi="Times New Roman" w:eastAsia="宋体" w:cs="Times New Roman"/>
                <w:sz w:val="21"/>
                <w:szCs w:val="21"/>
              </w:rPr>
              <w:t>加强车辆噪声和废气排放检查，如车辆噪声和排气不符合规定标准，车辆牌照将不予发放。车辆检查部门应禁止低速</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高噪声和大耗油量的旧车上路营运</w:t>
            </w:r>
            <w:r>
              <w:rPr>
                <w:rFonts w:hint="eastAsia" w:eastAsia="宋体" w:cs="Times New Roman"/>
                <w:sz w:val="21"/>
                <w:szCs w:val="21"/>
                <w:lang w:eastAsia="zh-CN"/>
              </w:rPr>
              <w:t>；</w:t>
            </w:r>
            <w:r>
              <w:rPr>
                <w:rFonts w:hint="default" w:ascii="Times New Roman" w:hAnsi="Times New Roman" w:eastAsia="宋体" w:cs="Times New Roman"/>
                <w:sz w:val="21"/>
                <w:szCs w:val="21"/>
              </w:rPr>
              <w:t>应对公民加强教育，使他们认识到车辆将产生大气和噪声污染的问题，并了解有关的法规</w:t>
            </w:r>
            <w:r>
              <w:rPr>
                <w:rFonts w:hint="eastAsia" w:eastAsia="宋体" w:cs="Times New Roman"/>
                <w:sz w:val="21"/>
                <w:szCs w:val="21"/>
                <w:lang w:eastAsia="zh-CN"/>
              </w:rPr>
              <w:t>。</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7"/>
                <w:sz w:val="21"/>
                <w:szCs w:val="21"/>
              </w:rPr>
              <w:t>公路管理处</w:t>
            </w:r>
            <w:r>
              <w:rPr>
                <w:rFonts w:hint="default" w:ascii="Times New Roman" w:hAnsi="Times New Roman" w:eastAsia="宋体" w:cs="Times New Roman"/>
                <w:sz w:val="21"/>
                <w:szCs w:val="21"/>
              </w:rPr>
              <w:t>公安</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交通管理部门</w:t>
            </w:r>
          </w:p>
        </w:tc>
        <w:tc>
          <w:tcPr>
            <w:tcW w:w="944" w:type="dxa"/>
            <w:vMerge w:val="continue"/>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431" w:hRule="atLeast"/>
          <w:jc w:val="center"/>
        </w:trPr>
        <w:tc>
          <w:tcPr>
            <w:tcW w:w="351" w:type="dxa"/>
            <w:tcBorders>
              <w:top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050"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危险品溢出管理</w:t>
            </w:r>
          </w:p>
        </w:tc>
        <w:tc>
          <w:tcPr>
            <w:tcW w:w="5712"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建设单位应成立应急领导小组，专门处理危险品溢出事故</w:t>
            </w:r>
            <w:r>
              <w:rPr>
                <w:rFonts w:hint="eastAsia" w:eastAsia="宋体" w:cs="Times New Roman"/>
                <w:sz w:val="21"/>
                <w:szCs w:val="21"/>
                <w:lang w:eastAsia="zh-CN"/>
              </w:rPr>
              <w:t>；</w:t>
            </w:r>
            <w:r>
              <w:rPr>
                <w:rFonts w:hint="default" w:ascii="Times New Roman" w:hAnsi="Times New Roman" w:eastAsia="宋体" w:cs="Times New Roman"/>
                <w:sz w:val="21"/>
                <w:szCs w:val="21"/>
              </w:rPr>
              <w:t>运输危险品应持有公安部门颁发的三张证书。即运输许可证</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驾驶员执照及保安员证书。危险品车辆应配备危险品标志</w:t>
            </w:r>
            <w:r>
              <w:rPr>
                <w:rFonts w:hint="eastAsia" w:eastAsia="宋体" w:cs="Times New Roman"/>
                <w:sz w:val="21"/>
                <w:szCs w:val="21"/>
                <w:lang w:eastAsia="zh-CN"/>
              </w:rPr>
              <w:t>，</w:t>
            </w:r>
            <w:r>
              <w:rPr>
                <w:rFonts w:hint="default" w:ascii="Times New Roman" w:hAnsi="Times New Roman" w:eastAsia="宋体" w:cs="Times New Roman"/>
                <w:sz w:val="21"/>
                <w:szCs w:val="21"/>
              </w:rPr>
              <w:t>公安局应给运输危险品的车辆指定专门的行车路线和停车点</w:t>
            </w:r>
            <w:r>
              <w:rPr>
                <w:rFonts w:hint="eastAsia" w:eastAsia="宋体" w:cs="Times New Roman"/>
                <w:sz w:val="21"/>
                <w:szCs w:val="21"/>
                <w:lang w:eastAsia="zh-CN"/>
              </w:rPr>
              <w:t>，</w:t>
            </w:r>
            <w:r>
              <w:rPr>
                <w:rFonts w:hint="default" w:ascii="Times New Roman" w:hAnsi="Times New Roman" w:eastAsia="宋体" w:cs="Times New Roman"/>
                <w:sz w:val="21"/>
                <w:szCs w:val="21"/>
              </w:rPr>
              <w:t>如发生危险品意外溢出事件，应按照应急计划，立即通知有关部门采取应急行动。还将成立一个监控组处理类似事故</w:t>
            </w:r>
            <w:r>
              <w:rPr>
                <w:rFonts w:hint="eastAsia" w:eastAsia="宋体" w:cs="Times New Roman"/>
                <w:sz w:val="21"/>
                <w:szCs w:val="21"/>
                <w:lang w:eastAsia="zh-CN"/>
              </w:rPr>
              <w:t>。</w:t>
            </w:r>
          </w:p>
        </w:tc>
        <w:tc>
          <w:tcPr>
            <w:tcW w:w="1007"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7"/>
                <w:sz w:val="21"/>
                <w:szCs w:val="21"/>
              </w:rPr>
              <w:t>公路管理处</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p>
        </w:tc>
        <w:tc>
          <w:tcPr>
            <w:tcW w:w="944" w:type="dxa"/>
            <w:vMerge w:val="continue"/>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环境管理中的注意事项：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1</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设计阶段，建设单位应</w:t>
      </w:r>
      <w:r>
        <w:rPr>
          <w:rFonts w:hint="eastAsia" w:ascii="Times New Roman" w:hAnsi="Times New Roman" w:cs="Times New Roman"/>
          <w:b w:val="0"/>
          <w:bCs/>
          <w:sz w:val="24"/>
          <w:szCs w:val="24"/>
          <w:lang w:val="en-US" w:eastAsia="zh-CN"/>
        </w:rPr>
        <w:t>按照</w:t>
      </w:r>
      <w:r>
        <w:rPr>
          <w:rFonts w:hint="default" w:ascii="Times New Roman" w:hAnsi="Times New Roman" w:cs="Times New Roman"/>
          <w:b w:val="0"/>
          <w:bCs/>
          <w:sz w:val="24"/>
          <w:szCs w:val="24"/>
          <w:lang w:val="en-US"/>
        </w:rPr>
        <w:t>国家有关规定，根据环境影响报告书中提出的环保措施进行环保工程设计，管理部门</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建设单位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环保部门专家审查环保工程设计方案，并按交通基本建设程序报批。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2</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招标阶段，建设单位应将环保有关内容编纳入招投标文件合同，承包商在投标中应有环境保护的内容，中标后的合同中应有实施环保措施的条款。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3</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建设单位营运期管理部门应配备数名专职人员负责施工期的环境管理工作，以施工期</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营运期的保护目标为重点。</w:t>
      </w:r>
    </w:p>
    <w:p>
      <w:pPr>
        <w:pStyle w:val="4"/>
        <w:bidi w:val="0"/>
        <w:rPr>
          <w:rFonts w:hint="default"/>
          <w:lang w:val="en-US" w:eastAsia="zh-CN"/>
        </w:rPr>
      </w:pPr>
      <w:bookmarkStart w:id="148" w:name="_Toc22275"/>
      <w:r>
        <w:rPr>
          <w:rFonts w:hint="default"/>
          <w:lang w:val="en-US" w:eastAsia="zh-CN"/>
        </w:rPr>
        <w:t>8.2.环境监测计划</w:t>
      </w:r>
      <w:bookmarkEnd w:id="148"/>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8.2.1.监测目的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通过必要的环境监测计划的实施，全面及时地掌握工程施工期和营运期环境状况，为制定必要的污染控制措施提供依据。</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49" w:name="8.2.2 监测机构"/>
      <w:bookmarkEnd w:id="149"/>
      <w:bookmarkStart w:id="150" w:name="8.2.2 监测机构"/>
      <w:bookmarkEnd w:id="150"/>
      <w:r>
        <w:rPr>
          <w:rFonts w:hint="default" w:ascii="Times New Roman" w:hAnsi="Times New Roman" w:cs="Times New Roman"/>
          <w:sz w:val="24"/>
          <w:szCs w:val="24"/>
          <w:lang w:val="en-US" w:eastAsia="zh-CN"/>
        </w:rPr>
        <w:t>8.2.2.监测机构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rPr>
        <w:t>公路施工期和营运期的环境监测应由符合国家环境质量监测认证资质的单</w:t>
      </w:r>
      <w:r>
        <w:rPr>
          <w:rFonts w:hint="default" w:ascii="Times New Roman" w:hAnsi="Times New Roman" w:cs="Times New Roman"/>
          <w:b w:val="0"/>
          <w:bCs/>
          <w:sz w:val="24"/>
          <w:szCs w:val="24"/>
          <w:lang w:val="en-US" w:eastAsia="zh-CN"/>
        </w:rPr>
        <w:t>位承担。</w:t>
      </w:r>
    </w:p>
    <w:p>
      <w:pPr>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center"/>
        <w:textAlignment w:val="auto"/>
        <w:rPr>
          <w:rFonts w:hint="default" w:ascii="Times New Roman" w:hAnsi="Times New Roman" w:cs="Times New Roman"/>
          <w:b/>
          <w:sz w:val="21"/>
        </w:rPr>
      </w:pPr>
      <w:r>
        <w:rPr>
          <w:rFonts w:hint="default" w:ascii="Times New Roman" w:hAnsi="Times New Roman" w:cs="Times New Roman"/>
          <w:b/>
          <w:sz w:val="21"/>
        </w:rPr>
        <w:t>表 8.2-1 环境监测计划</w:t>
      </w:r>
    </w:p>
    <w:tbl>
      <w:tblPr>
        <w:tblStyle w:val="17"/>
        <w:tblW w:w="4750" w:type="pct"/>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454"/>
        <w:gridCol w:w="3021"/>
        <w:gridCol w:w="1527"/>
        <w:gridCol w:w="1475"/>
        <w:gridCol w:w="388"/>
        <w:gridCol w:w="1137"/>
        <w:gridCol w:w="1045"/>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36" w:hRule="atLeast"/>
          <w:jc w:val="center"/>
        </w:trPr>
        <w:tc>
          <w:tcPr>
            <w:tcW w:w="511" w:type="dxa"/>
            <w:tcBorders>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阶段</w:t>
            </w:r>
          </w:p>
        </w:tc>
        <w:tc>
          <w:tcPr>
            <w:tcW w:w="3405"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监测地点</w:t>
            </w:r>
          </w:p>
        </w:tc>
        <w:tc>
          <w:tcPr>
            <w:tcW w:w="1720"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1661"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c>
          <w:tcPr>
            <w:tcW w:w="1716" w:type="dxa"/>
            <w:gridSpan w:val="2"/>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监测历时</w:t>
            </w:r>
          </w:p>
        </w:tc>
        <w:tc>
          <w:tcPr>
            <w:tcW w:w="1176" w:type="dxa"/>
            <w:tcBorders>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实施机构</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775" w:hRule="atLeast"/>
          <w:jc w:val="center"/>
        </w:trPr>
        <w:tc>
          <w:tcPr>
            <w:tcW w:w="511" w:type="dxa"/>
            <w:vMerge w:val="restart"/>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340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预制场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钢筋加工场</w:t>
            </w:r>
            <w:r>
              <w:rPr>
                <w:rFonts w:hint="default" w:ascii="Times New Roman" w:hAnsi="Times New Roman" w:eastAsia="宋体" w:cs="Times New Roman"/>
                <w:sz w:val="21"/>
                <w:szCs w:val="21"/>
                <w:lang w:eastAsia="zh-CN"/>
              </w:rPr>
              <w:t>。</w:t>
            </w:r>
          </w:p>
        </w:tc>
        <w:tc>
          <w:tcPr>
            <w:tcW w:w="17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TSP</w:t>
            </w:r>
          </w:p>
        </w:tc>
        <w:tc>
          <w:tcPr>
            <w:tcW w:w="166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施工期内每季度一次</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施工高</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rPr>
              <w:t>峰酌情加密</w:t>
            </w:r>
            <w:r>
              <w:rPr>
                <w:rFonts w:hint="eastAsia" w:ascii="Times New Roman" w:hAnsi="Times New Roman" w:eastAsia="宋体" w:cs="Times New Roman"/>
                <w:sz w:val="21"/>
                <w:szCs w:val="21"/>
                <w:lang w:eastAsia="zh-CN"/>
              </w:rPr>
              <w:t>）</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每次连续</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18h</w:t>
            </w:r>
          </w:p>
        </w:tc>
        <w:tc>
          <w:tcPr>
            <w:tcW w:w="1176"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37" w:hRule="atLeast"/>
          <w:jc w:val="center"/>
        </w:trPr>
        <w:tc>
          <w:tcPr>
            <w:tcW w:w="511"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340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环境空气和声环境保护目标附近的施工现场</w:t>
            </w:r>
          </w:p>
        </w:tc>
        <w:tc>
          <w:tcPr>
            <w:tcW w:w="17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rPr>
              <w:t>噪声</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TSP</w:t>
            </w:r>
          </w:p>
        </w:tc>
        <w:tc>
          <w:tcPr>
            <w:tcW w:w="166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每季度一次</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1d</w:t>
            </w: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昼夜各一次</w:t>
            </w:r>
          </w:p>
        </w:tc>
        <w:tc>
          <w:tcPr>
            <w:tcW w:w="1176"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774" w:hRule="atLeast"/>
          <w:jc w:val="center"/>
        </w:trPr>
        <w:tc>
          <w:tcPr>
            <w:tcW w:w="511"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340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四合大桥</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临巴中桥</w:t>
            </w:r>
            <w:r>
              <w:rPr>
                <w:rFonts w:hint="default" w:ascii="Times New Roman" w:hAnsi="Times New Roman" w:eastAsia="宋体" w:cs="Times New Roman"/>
                <w:sz w:val="21"/>
                <w:szCs w:val="21"/>
              </w:rPr>
              <w:t xml:space="preserve">下游 </w:t>
            </w:r>
            <w:r>
              <w:rPr>
                <w:rFonts w:hint="default" w:ascii="Times New Roman" w:hAnsi="Times New Roman" w:cs="Times New Roman"/>
                <w:sz w:val="21"/>
                <w:szCs w:val="21"/>
              </w:rPr>
              <w:t xml:space="preserve">100m </w:t>
            </w:r>
            <w:r>
              <w:rPr>
                <w:rFonts w:hint="default" w:ascii="Times New Roman" w:hAnsi="Times New Roman" w:eastAsia="宋体" w:cs="Times New Roman"/>
                <w:sz w:val="21"/>
                <w:szCs w:val="21"/>
              </w:rPr>
              <w:t>各设一个断面</w:t>
            </w:r>
          </w:p>
        </w:tc>
        <w:tc>
          <w:tcPr>
            <w:tcW w:w="17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pH</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COD</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SS</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石油类</w:t>
            </w:r>
          </w:p>
        </w:tc>
        <w:tc>
          <w:tcPr>
            <w:tcW w:w="166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按施工情况</w:t>
            </w: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跟踪监测，不少</w:t>
            </w:r>
            <w:r>
              <w:rPr>
                <w:rFonts w:hint="default" w:ascii="Times New Roman" w:hAnsi="Times New Roman" w:eastAsia="宋体" w:cs="Times New Roman"/>
                <w:spacing w:val="-12"/>
                <w:sz w:val="21"/>
                <w:szCs w:val="21"/>
              </w:rPr>
              <w:t>于</w:t>
            </w:r>
            <w:r>
              <w:rPr>
                <w:rFonts w:hint="default" w:ascii="Times New Roman" w:hAnsi="Times New Roman" w:cs="Times New Roman"/>
                <w:sz w:val="21"/>
                <w:szCs w:val="21"/>
              </w:rPr>
              <w:t>2</w:t>
            </w:r>
            <w:r>
              <w:rPr>
                <w:rFonts w:hint="default" w:ascii="Times New Roman" w:hAnsi="Times New Roman" w:cs="Times New Roman"/>
                <w:spacing w:val="1"/>
                <w:sz w:val="21"/>
                <w:szCs w:val="21"/>
              </w:rPr>
              <w:t xml:space="preserve"> </w:t>
            </w:r>
            <w:r>
              <w:rPr>
                <w:rFonts w:hint="default" w:ascii="Times New Roman" w:hAnsi="Times New Roman" w:eastAsia="宋体" w:cs="Times New Roman"/>
                <w:sz w:val="21"/>
                <w:szCs w:val="21"/>
              </w:rPr>
              <w:t>次</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1 </w:t>
            </w:r>
            <w:r>
              <w:rPr>
                <w:rFonts w:hint="default" w:ascii="Times New Roman" w:hAnsi="Times New Roman" w:eastAsia="宋体" w:cs="Times New Roman"/>
                <w:sz w:val="21"/>
                <w:szCs w:val="21"/>
              </w:rPr>
              <w:t>次</w:t>
            </w:r>
            <w:r>
              <w:rPr>
                <w:rFonts w:hint="default" w:ascii="Times New Roman" w:hAnsi="Times New Roman" w:cs="Times New Roman"/>
                <w:sz w:val="21"/>
                <w:szCs w:val="21"/>
              </w:rPr>
              <w:t>/d</w:t>
            </w:r>
          </w:p>
        </w:tc>
        <w:tc>
          <w:tcPr>
            <w:tcW w:w="1176"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34" w:hRule="atLeast"/>
          <w:jc w:val="center"/>
        </w:trPr>
        <w:tc>
          <w:tcPr>
            <w:tcW w:w="511"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340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施工扰动区</w:t>
            </w:r>
          </w:p>
        </w:tc>
        <w:tc>
          <w:tcPr>
            <w:tcW w:w="17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陆生野生动植物多样性监测</w:t>
            </w:r>
          </w:p>
        </w:tc>
        <w:tc>
          <w:tcPr>
            <w:tcW w:w="166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施工期总计一次</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必要时</w:t>
            </w:r>
          </w:p>
        </w:tc>
        <w:tc>
          <w:tcPr>
            <w:tcW w:w="1176"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511" w:type="dxa"/>
            <w:vMerge w:val="restart"/>
            <w:tcBorders>
              <w:top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b/>
                <w:sz w:val="21"/>
                <w:szCs w:val="21"/>
              </w:rPr>
            </w:pPr>
          </w:p>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试运营期</w:t>
            </w:r>
          </w:p>
        </w:tc>
        <w:tc>
          <w:tcPr>
            <w:tcW w:w="340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各声环境保护目标</w:t>
            </w:r>
          </w:p>
        </w:tc>
        <w:tc>
          <w:tcPr>
            <w:tcW w:w="17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66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每年 </w:t>
            </w:r>
            <w:r>
              <w:rPr>
                <w:rFonts w:hint="default" w:ascii="Times New Roman" w:hAnsi="Times New Roman" w:cs="Times New Roman"/>
                <w:sz w:val="21"/>
                <w:szCs w:val="21"/>
              </w:rPr>
              <w:t xml:space="preserve">2 </w:t>
            </w:r>
            <w:r>
              <w:rPr>
                <w:rFonts w:hint="default" w:ascii="Times New Roman" w:hAnsi="Times New Roman" w:eastAsia="宋体" w:cs="Times New Roman"/>
                <w:sz w:val="21"/>
                <w:szCs w:val="21"/>
              </w:rPr>
              <w:t>次</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1d</w:t>
            </w: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昼夜各一次</w:t>
            </w:r>
          </w:p>
        </w:tc>
        <w:tc>
          <w:tcPr>
            <w:tcW w:w="1176"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rPr>
          <w:trHeight w:val="535" w:hRule="atLeast"/>
          <w:jc w:val="center"/>
        </w:trPr>
        <w:tc>
          <w:tcPr>
            <w:tcW w:w="511"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340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四合大桥</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临巴中桥</w:t>
            </w:r>
            <w:r>
              <w:rPr>
                <w:rFonts w:hint="default" w:ascii="Times New Roman" w:hAnsi="Times New Roman" w:eastAsia="宋体" w:cs="Times New Roman"/>
                <w:sz w:val="21"/>
                <w:szCs w:val="21"/>
              </w:rPr>
              <w:t xml:space="preserve">下游 </w:t>
            </w:r>
            <w:r>
              <w:rPr>
                <w:rFonts w:hint="default" w:ascii="Times New Roman" w:hAnsi="Times New Roman" w:cs="Times New Roman"/>
                <w:sz w:val="21"/>
                <w:szCs w:val="21"/>
              </w:rPr>
              <w:t xml:space="preserve">100m </w:t>
            </w:r>
            <w:r>
              <w:rPr>
                <w:rFonts w:hint="default" w:ascii="Times New Roman" w:hAnsi="Times New Roman" w:eastAsia="宋体" w:cs="Times New Roman"/>
                <w:sz w:val="21"/>
                <w:szCs w:val="21"/>
              </w:rPr>
              <w:t>各设一个断面</w:t>
            </w:r>
          </w:p>
        </w:tc>
        <w:tc>
          <w:tcPr>
            <w:tcW w:w="17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pH</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COD</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SS</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石油类</w:t>
            </w:r>
          </w:p>
        </w:tc>
        <w:tc>
          <w:tcPr>
            <w:tcW w:w="166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事故应急监测</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176"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722" w:hRule="atLeast"/>
          <w:jc w:val="center"/>
        </w:trPr>
        <w:tc>
          <w:tcPr>
            <w:tcW w:w="511"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340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工程占地区</w:t>
            </w:r>
          </w:p>
        </w:tc>
        <w:tc>
          <w:tcPr>
            <w:tcW w:w="17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陆生野生动植物多样性生态监测</w:t>
            </w:r>
          </w:p>
        </w:tc>
        <w:tc>
          <w:tcPr>
            <w:tcW w:w="166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试营运期总计一次</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必要时</w:t>
            </w:r>
          </w:p>
        </w:tc>
        <w:tc>
          <w:tcPr>
            <w:tcW w:w="1176"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87" w:hRule="atLeast"/>
          <w:jc w:val="center"/>
        </w:trPr>
        <w:tc>
          <w:tcPr>
            <w:tcW w:w="511" w:type="dxa"/>
            <w:vMerge w:val="restart"/>
            <w:tcBorders>
              <w:top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w:t>
            </w:r>
          </w:p>
        </w:tc>
        <w:tc>
          <w:tcPr>
            <w:tcW w:w="340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各声环境保护目标</w:t>
            </w:r>
          </w:p>
        </w:tc>
        <w:tc>
          <w:tcPr>
            <w:tcW w:w="17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66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每年 </w:t>
            </w:r>
            <w:r>
              <w:rPr>
                <w:rFonts w:hint="default" w:ascii="Times New Roman" w:hAnsi="Times New Roman" w:cs="Times New Roman"/>
                <w:sz w:val="21"/>
                <w:szCs w:val="21"/>
              </w:rPr>
              <w:t xml:space="preserve">1 </w:t>
            </w:r>
            <w:r>
              <w:rPr>
                <w:rFonts w:hint="default" w:ascii="Times New Roman" w:hAnsi="Times New Roman" w:eastAsia="宋体" w:cs="Times New Roman"/>
                <w:sz w:val="21"/>
                <w:szCs w:val="21"/>
              </w:rPr>
              <w:t>次</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1d</w:t>
            </w: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昼夜各一次</w:t>
            </w:r>
          </w:p>
        </w:tc>
        <w:tc>
          <w:tcPr>
            <w:tcW w:w="1176"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14" w:hRule="atLeast"/>
          <w:jc w:val="center"/>
        </w:trPr>
        <w:tc>
          <w:tcPr>
            <w:tcW w:w="511" w:type="dxa"/>
            <w:vMerge w:val="continue"/>
            <w:tcBorders>
              <w:top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340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四合大桥</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临巴中桥</w:t>
            </w:r>
            <w:r>
              <w:rPr>
                <w:rFonts w:hint="default" w:ascii="Times New Roman" w:hAnsi="Times New Roman" w:eastAsia="宋体" w:cs="Times New Roman"/>
                <w:sz w:val="21"/>
                <w:szCs w:val="21"/>
              </w:rPr>
              <w:t xml:space="preserve">下游 </w:t>
            </w:r>
            <w:r>
              <w:rPr>
                <w:rFonts w:hint="default" w:ascii="Times New Roman" w:hAnsi="Times New Roman" w:cs="Times New Roman"/>
                <w:sz w:val="21"/>
                <w:szCs w:val="21"/>
              </w:rPr>
              <w:t xml:space="preserve">100m </w:t>
            </w:r>
            <w:r>
              <w:rPr>
                <w:rFonts w:hint="default" w:ascii="Times New Roman" w:hAnsi="Times New Roman" w:eastAsia="宋体" w:cs="Times New Roman"/>
                <w:sz w:val="21"/>
                <w:szCs w:val="21"/>
              </w:rPr>
              <w:t>各设一个断面</w:t>
            </w:r>
          </w:p>
        </w:tc>
        <w:tc>
          <w:tcPr>
            <w:tcW w:w="172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pH</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COD</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SS</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石油类</w:t>
            </w:r>
          </w:p>
        </w:tc>
        <w:tc>
          <w:tcPr>
            <w:tcW w:w="166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事故应急监测</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176" w:type="dxa"/>
            <w:tcBorders>
              <w:top w:val="single" w:color="000000" w:sz="4" w:space="0"/>
              <w:left w:val="single" w:color="000000" w:sz="4" w:space="0"/>
              <w:bottom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监测单位</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rPr>
          <w:trHeight w:val="527" w:hRule="atLeast"/>
          <w:jc w:val="center"/>
        </w:trPr>
        <w:tc>
          <w:tcPr>
            <w:tcW w:w="511" w:type="dxa"/>
            <w:vMerge w:val="continue"/>
            <w:tcBorders>
              <w:top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c>
          <w:tcPr>
            <w:tcW w:w="3405"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工程占地区</w:t>
            </w:r>
          </w:p>
        </w:tc>
        <w:tc>
          <w:tcPr>
            <w:tcW w:w="1720"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陆生野生动植物多样性生态监测</w:t>
            </w:r>
          </w:p>
        </w:tc>
        <w:tc>
          <w:tcPr>
            <w:tcW w:w="1661"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营运期总计一次</w:t>
            </w:r>
          </w:p>
        </w:tc>
        <w:tc>
          <w:tcPr>
            <w:tcW w:w="436"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280" w:type="dxa"/>
            <w:tcBorders>
              <w:top w:val="single" w:color="000000" w:sz="4" w:space="0"/>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176" w:type="dxa"/>
            <w:tcBorders>
              <w:top w:val="single" w:color="000000" w:sz="4" w:space="0"/>
              <w:lef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s="Times New Roman"/>
                <w:sz w:val="21"/>
                <w:szCs w:val="21"/>
              </w:rPr>
            </w:pPr>
          </w:p>
        </w:tc>
      </w:tr>
    </w:tbl>
    <w:p>
      <w:pPr>
        <w:bidi w:val="0"/>
        <w:rPr>
          <w:rFonts w:hint="default"/>
          <w:lang w:val="en-US" w:eastAsia="zh-CN"/>
        </w:rPr>
      </w:pP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8.2.3.监测设备</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费用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本工程不添置监测仪器设备，由监测单位自备。本项目施工期 </w:t>
      </w:r>
      <w:r>
        <w:rPr>
          <w:rFonts w:hint="default" w:ascii="Times New Roman" w:hAnsi="Times New Roman" w:cs="Times New Roman"/>
          <w:b w:val="0"/>
          <w:bCs/>
          <w:sz w:val="24"/>
          <w:szCs w:val="24"/>
          <w:lang w:val="en-US" w:eastAsia="zh-CN"/>
        </w:rPr>
        <w:t>1</w:t>
      </w:r>
      <w:r>
        <w:rPr>
          <w:rFonts w:hint="default" w:ascii="Times New Roman" w:hAnsi="Times New Roman" w:cs="Times New Roman"/>
          <w:b w:val="0"/>
          <w:bCs/>
          <w:sz w:val="24"/>
          <w:szCs w:val="24"/>
          <w:lang w:val="en-US"/>
        </w:rPr>
        <w:t xml:space="preserve">年，监测费共计 </w:t>
      </w:r>
      <w:r>
        <w:rPr>
          <w:rFonts w:hint="default" w:ascii="Times New Roman" w:hAnsi="Times New Roman" w:cs="Times New Roman"/>
          <w:b w:val="0"/>
          <w:bCs/>
          <w:sz w:val="24"/>
          <w:szCs w:val="24"/>
          <w:lang w:val="en-US" w:eastAsia="zh-CN"/>
        </w:rPr>
        <w:t>8</w:t>
      </w:r>
      <w:r>
        <w:rPr>
          <w:rFonts w:hint="default" w:ascii="Times New Roman" w:hAnsi="Times New Roman" w:cs="Times New Roman"/>
          <w:b w:val="0"/>
          <w:bCs/>
          <w:sz w:val="24"/>
          <w:szCs w:val="24"/>
          <w:lang w:val="en-US"/>
        </w:rPr>
        <w:t xml:space="preserve">万元，其中，噪声监测 </w:t>
      </w:r>
      <w:r>
        <w:rPr>
          <w:rFonts w:hint="default" w:ascii="Times New Roman" w:hAnsi="Times New Roman" w:cs="Times New Roman"/>
          <w:b w:val="0"/>
          <w:bCs/>
          <w:sz w:val="24"/>
          <w:szCs w:val="24"/>
          <w:lang w:val="en-US" w:eastAsia="zh-CN"/>
        </w:rPr>
        <w:t>1</w:t>
      </w:r>
      <w:r>
        <w:rPr>
          <w:rFonts w:hint="default" w:ascii="Times New Roman" w:hAnsi="Times New Roman" w:cs="Times New Roman"/>
          <w:b w:val="0"/>
          <w:bCs/>
          <w:sz w:val="24"/>
          <w:szCs w:val="24"/>
          <w:lang w:val="en-US"/>
        </w:rPr>
        <w:t xml:space="preserve">万元，环境空气监测约 </w:t>
      </w:r>
      <w:r>
        <w:rPr>
          <w:rFonts w:hint="default" w:ascii="Times New Roman" w:hAnsi="Times New Roman" w:cs="Times New Roman"/>
          <w:b w:val="0"/>
          <w:bCs/>
          <w:sz w:val="24"/>
          <w:szCs w:val="24"/>
          <w:lang w:val="en-US" w:eastAsia="zh-CN"/>
        </w:rPr>
        <w:t>1</w:t>
      </w:r>
      <w:r>
        <w:rPr>
          <w:rFonts w:hint="default" w:ascii="Times New Roman" w:hAnsi="Times New Roman" w:cs="Times New Roman"/>
          <w:b w:val="0"/>
          <w:bCs/>
          <w:sz w:val="24"/>
          <w:szCs w:val="24"/>
          <w:lang w:val="en-US"/>
        </w:rPr>
        <w:t>万元，水环境监测</w:t>
      </w:r>
      <w:r>
        <w:rPr>
          <w:rFonts w:hint="default" w:ascii="Times New Roman" w:hAnsi="Times New Roman" w:cs="Times New Roman"/>
          <w:b w:val="0"/>
          <w:bCs/>
          <w:sz w:val="24"/>
          <w:szCs w:val="24"/>
          <w:lang w:val="en-US" w:eastAsia="zh-CN"/>
        </w:rPr>
        <w:t>1</w:t>
      </w:r>
      <w:r>
        <w:rPr>
          <w:rFonts w:hint="default" w:ascii="Times New Roman" w:hAnsi="Times New Roman" w:cs="Times New Roman"/>
          <w:b w:val="0"/>
          <w:bCs/>
          <w:sz w:val="24"/>
          <w:szCs w:val="24"/>
          <w:lang w:val="en-US"/>
        </w:rPr>
        <w:t xml:space="preserve"> 万元，生态监测费用 </w:t>
      </w:r>
      <w:r>
        <w:rPr>
          <w:rFonts w:hint="default" w:ascii="Times New Roman" w:hAnsi="Times New Roman" w:cs="Times New Roman"/>
          <w:b w:val="0"/>
          <w:bCs/>
          <w:sz w:val="24"/>
          <w:szCs w:val="24"/>
          <w:lang w:val="en-US" w:eastAsia="zh-CN"/>
        </w:rPr>
        <w:t>5</w:t>
      </w:r>
      <w:r>
        <w:rPr>
          <w:rFonts w:hint="default" w:ascii="Times New Roman" w:hAnsi="Times New Roman" w:cs="Times New Roman"/>
          <w:b w:val="0"/>
          <w:bCs/>
          <w:sz w:val="24"/>
          <w:szCs w:val="24"/>
          <w:lang w:val="en-US"/>
        </w:rPr>
        <w:t xml:space="preserve">万元。试运营期按 1 年计，监测费用总计 </w:t>
      </w:r>
      <w:r>
        <w:rPr>
          <w:rFonts w:hint="default" w:ascii="Times New Roman" w:hAnsi="Times New Roman" w:cs="Times New Roman"/>
          <w:b w:val="0"/>
          <w:bCs/>
          <w:sz w:val="24"/>
          <w:szCs w:val="24"/>
          <w:lang w:val="en-US" w:eastAsia="zh-CN"/>
        </w:rPr>
        <w:t>8</w:t>
      </w:r>
      <w:r>
        <w:rPr>
          <w:rFonts w:hint="default" w:ascii="Times New Roman" w:hAnsi="Times New Roman" w:cs="Times New Roman"/>
          <w:b w:val="0"/>
          <w:bCs/>
          <w:sz w:val="24"/>
          <w:szCs w:val="24"/>
          <w:lang w:val="en-US"/>
        </w:rPr>
        <w:t xml:space="preserve">万元，其中噪声监测 </w:t>
      </w:r>
      <w:r>
        <w:rPr>
          <w:rFonts w:hint="default" w:ascii="Times New Roman" w:hAnsi="Times New Roman" w:cs="Times New Roman"/>
          <w:b w:val="0"/>
          <w:bCs/>
          <w:sz w:val="24"/>
          <w:szCs w:val="24"/>
          <w:lang w:val="en-US" w:eastAsia="zh-CN"/>
        </w:rPr>
        <w:t>1</w:t>
      </w:r>
      <w:r>
        <w:rPr>
          <w:rFonts w:hint="default" w:ascii="Times New Roman" w:hAnsi="Times New Roman" w:cs="Times New Roman"/>
          <w:b w:val="0"/>
          <w:bCs/>
          <w:sz w:val="24"/>
          <w:szCs w:val="24"/>
          <w:lang w:val="en-US"/>
        </w:rPr>
        <w:t xml:space="preserve"> 万元，水环境监测总计 </w:t>
      </w:r>
      <w:r>
        <w:rPr>
          <w:rFonts w:hint="default" w:ascii="Times New Roman" w:hAnsi="Times New Roman" w:cs="Times New Roman"/>
          <w:b w:val="0"/>
          <w:bCs/>
          <w:sz w:val="24"/>
          <w:szCs w:val="24"/>
          <w:lang w:val="en-US" w:eastAsia="zh-CN"/>
        </w:rPr>
        <w:t>1</w:t>
      </w:r>
      <w:r>
        <w:rPr>
          <w:rFonts w:hint="default" w:ascii="Times New Roman" w:hAnsi="Times New Roman" w:cs="Times New Roman"/>
          <w:b w:val="0"/>
          <w:bCs/>
          <w:sz w:val="24"/>
          <w:szCs w:val="24"/>
          <w:lang w:val="en-US"/>
        </w:rPr>
        <w:t>万元，大气环境监测总计</w:t>
      </w:r>
      <w:r>
        <w:rPr>
          <w:rFonts w:hint="default" w:ascii="Times New Roman" w:hAnsi="Times New Roman" w:cs="Times New Roman"/>
          <w:b w:val="0"/>
          <w:bCs/>
          <w:sz w:val="24"/>
          <w:szCs w:val="24"/>
          <w:lang w:val="en-US" w:eastAsia="zh-CN"/>
        </w:rPr>
        <w:t>1</w:t>
      </w:r>
      <w:r>
        <w:rPr>
          <w:rFonts w:hint="default" w:ascii="Times New Roman" w:hAnsi="Times New Roman" w:cs="Times New Roman"/>
          <w:b w:val="0"/>
          <w:bCs/>
          <w:sz w:val="24"/>
          <w:szCs w:val="24"/>
          <w:lang w:val="en-US"/>
        </w:rPr>
        <w:t xml:space="preserve">万元，生态监测费用 </w:t>
      </w:r>
      <w:r>
        <w:rPr>
          <w:rFonts w:hint="default" w:ascii="Times New Roman" w:hAnsi="Times New Roman" w:cs="Times New Roman"/>
          <w:b w:val="0"/>
          <w:bCs/>
          <w:sz w:val="24"/>
          <w:szCs w:val="24"/>
          <w:lang w:val="en-US" w:eastAsia="zh-CN"/>
        </w:rPr>
        <w:t>5</w:t>
      </w:r>
      <w:r>
        <w:rPr>
          <w:rFonts w:hint="default" w:ascii="Times New Roman" w:hAnsi="Times New Roman" w:cs="Times New Roman"/>
          <w:b w:val="0"/>
          <w:bCs/>
          <w:sz w:val="24"/>
          <w:szCs w:val="24"/>
          <w:lang w:val="en-US"/>
        </w:rPr>
        <w:t xml:space="preserve">万元。营运期暂列 5 年监测计划，监测费用总计 </w:t>
      </w:r>
      <w:r>
        <w:rPr>
          <w:rFonts w:hint="default" w:ascii="Times New Roman" w:hAnsi="Times New Roman" w:cs="Times New Roman"/>
          <w:b w:val="0"/>
          <w:bCs/>
          <w:sz w:val="24"/>
          <w:szCs w:val="24"/>
          <w:lang w:val="en-US" w:eastAsia="zh-CN"/>
        </w:rPr>
        <w:t>20</w:t>
      </w:r>
      <w:r>
        <w:rPr>
          <w:rFonts w:hint="default" w:ascii="Times New Roman" w:hAnsi="Times New Roman" w:cs="Times New Roman"/>
          <w:b w:val="0"/>
          <w:bCs/>
          <w:sz w:val="24"/>
          <w:szCs w:val="24"/>
          <w:lang w:val="en-US"/>
        </w:rPr>
        <w:t xml:space="preserve">万元。每次监测结束后，监测单位提供监测报告，并由建设单位逐级上报。生态环境监测费用总估算约 </w:t>
      </w:r>
      <w:r>
        <w:rPr>
          <w:rFonts w:hint="default" w:ascii="Times New Roman" w:hAnsi="Times New Roman" w:cs="Times New Roman"/>
          <w:b w:val="0"/>
          <w:bCs/>
          <w:sz w:val="24"/>
          <w:szCs w:val="24"/>
          <w:lang w:val="en-US" w:eastAsia="zh-CN"/>
        </w:rPr>
        <w:t>36</w:t>
      </w:r>
      <w:r>
        <w:rPr>
          <w:rFonts w:hint="default" w:ascii="Times New Roman" w:hAnsi="Times New Roman" w:cs="Times New Roman"/>
          <w:b w:val="0"/>
          <w:bCs/>
          <w:sz w:val="24"/>
          <w:szCs w:val="24"/>
          <w:lang w:val="en-US"/>
        </w:rPr>
        <w:t>万元。</w:t>
      </w:r>
    </w:p>
    <w:p>
      <w:pPr>
        <w:pStyle w:val="4"/>
        <w:bidi w:val="0"/>
        <w:rPr>
          <w:rFonts w:hint="default"/>
          <w:lang w:val="en-US" w:eastAsia="zh-CN"/>
        </w:rPr>
      </w:pPr>
      <w:bookmarkStart w:id="151" w:name="_Toc23295"/>
      <w:r>
        <w:rPr>
          <w:rFonts w:hint="default"/>
          <w:lang w:val="en-US" w:eastAsia="zh-CN"/>
        </w:rPr>
        <w:t>8.3.环境监理</w:t>
      </w:r>
      <w:bookmarkEnd w:id="151"/>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52" w:name="8.3.1 环境监理工作目标"/>
      <w:bookmarkEnd w:id="152"/>
      <w:bookmarkStart w:id="153" w:name="8.3.1 环境监理工作目标"/>
      <w:bookmarkEnd w:id="153"/>
      <w:r>
        <w:rPr>
          <w:rFonts w:hint="default" w:ascii="Times New Roman" w:hAnsi="Times New Roman" w:cs="Times New Roman"/>
          <w:sz w:val="24"/>
          <w:szCs w:val="24"/>
          <w:lang w:val="en-US" w:eastAsia="zh-CN"/>
        </w:rPr>
        <w:t>8.3.1.环境监理工作目标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环境监理应依据国家的法律</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法规及批准的环保设计文件</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监理方案和依法签订的监理</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施工承包合同，按环境监理服务的范围和内容，履行环境监理义务，独立</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公正</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科学</w:t>
      </w:r>
      <w:r>
        <w:rPr>
          <w:rFonts w:hint="eastAsia" w:ascii="Times New Roman" w:hAnsi="Times New Roman" w:cs="Times New Roman"/>
          <w:b w:val="0"/>
          <w:bCs/>
          <w:sz w:val="24"/>
          <w:szCs w:val="24"/>
          <w:lang w:val="en-US" w:eastAsia="zh-CN"/>
        </w:rPr>
        <w:t>、有效地服务</w:t>
      </w:r>
      <w:r>
        <w:rPr>
          <w:rFonts w:hint="default" w:ascii="Times New Roman" w:hAnsi="Times New Roman" w:cs="Times New Roman"/>
          <w:b w:val="0"/>
          <w:bCs/>
          <w:sz w:val="24"/>
          <w:szCs w:val="24"/>
          <w:lang w:val="en-US"/>
        </w:rPr>
        <w:t>于工程，实施项目环保的全面环境监理，使工程在设计</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营运等方面达到环境保护要求，确保质量</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工期的有效控制及资金的有效利用，将施工期</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营运期的不利环境影响降到最低。</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54" w:name="8.3.2 环境监理工作原则"/>
      <w:bookmarkEnd w:id="154"/>
      <w:bookmarkStart w:id="155" w:name="8.3.2 环境监理工作原则"/>
      <w:bookmarkEnd w:id="155"/>
      <w:r>
        <w:rPr>
          <w:rFonts w:hint="default" w:ascii="Times New Roman" w:hAnsi="Times New Roman" w:cs="Times New Roman"/>
          <w:sz w:val="24"/>
          <w:szCs w:val="24"/>
          <w:lang w:val="en-US" w:eastAsia="zh-CN"/>
        </w:rPr>
        <w:t>8.3.2.环境监理工作原则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从事工程建设环境监理活动，应当遵循守法</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诚信</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公正</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科学的准则。确立环境监理是“第三方”的原则，应将环境监理和业主的环境管理</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政府部门的环境监督执法严格区分开来，并为业主和政府部门的环境管理服务。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环境监理应纳入工程监理的管理体系，不能弱化环境监理的地位。监理工作中应理顺和协调好业主单位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工程监理单位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环境监理单位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环境监测单位及政府环境行政主管部门等各方面的关系，为做好环境监理工作创造有利条件。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监理单位应根据工程特点，制定符合工程实际情况规范化的监理制度，使监理工作有序顺利开展。</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56" w:name="8.3.3 环境监理范围、阶段"/>
      <w:bookmarkEnd w:id="156"/>
      <w:bookmarkStart w:id="157" w:name="8.3.3 环境监理范围、阶段"/>
      <w:bookmarkEnd w:id="157"/>
      <w:r>
        <w:rPr>
          <w:rFonts w:hint="default" w:ascii="Times New Roman" w:hAnsi="Times New Roman" w:cs="Times New Roman"/>
          <w:sz w:val="24"/>
          <w:szCs w:val="24"/>
          <w:lang w:val="en-US" w:eastAsia="zh-CN"/>
        </w:rPr>
        <w:t>8.3.3.环境监理范围</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阶段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环境监理范围：工程所在区域与工程影响区域。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工作范围：施工场地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施工驻地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施工便道</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弃渣场</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附属设施</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征地拆迁等以及上述范围内生产施工对周边造成环境污染和生态破坏的区域。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工作目标：环保措施质量控制。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工作阶段：⑴施工准备阶段环境监理；⑵施工阶段环境监理；⑶工程保修阶段</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交工及缺陷责任期</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环境监理。</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58" w:name="8.3.4 环境监理程序"/>
      <w:bookmarkEnd w:id="158"/>
      <w:bookmarkStart w:id="159" w:name="8.3.4 环境监理程序"/>
      <w:bookmarkEnd w:id="159"/>
      <w:r>
        <w:rPr>
          <w:rFonts w:hint="default" w:ascii="Times New Roman" w:hAnsi="Times New Roman" w:cs="Times New Roman"/>
          <w:sz w:val="24"/>
          <w:szCs w:val="24"/>
          <w:lang w:val="en-US" w:eastAsia="zh-CN"/>
        </w:rPr>
        <w:t>8.3.4.环境监理程序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1</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编制工程施工期环境监理方案；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2</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按工程建设进度</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各项环保措施编制环境监理细则；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3</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按照环境监理方案进行施工期环境监理；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4</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参与工程环保验收，签署环境监理意见；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5</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监理项目完成后，向项目法人提交监理档案资料</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验收环保监理报告。</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60" w:name="8.3.5 工作制度"/>
      <w:bookmarkEnd w:id="160"/>
      <w:bookmarkStart w:id="161" w:name="8.3.5 工作制度"/>
      <w:bookmarkEnd w:id="161"/>
      <w:r>
        <w:rPr>
          <w:rFonts w:hint="default" w:ascii="Times New Roman" w:hAnsi="Times New Roman" w:cs="Times New Roman"/>
          <w:sz w:val="24"/>
          <w:szCs w:val="24"/>
          <w:lang w:val="en-US" w:eastAsia="zh-CN"/>
        </w:rPr>
        <w:t>8.3.5.工作制度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环境监理应建立工作制度，包括：工作记录</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人员培训</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报告</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函件来往</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例会等制度。</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62" w:name="8.3.6 监理机构"/>
      <w:bookmarkEnd w:id="162"/>
      <w:bookmarkStart w:id="163" w:name="8.3.6 监理机构"/>
      <w:bookmarkEnd w:id="163"/>
      <w:r>
        <w:rPr>
          <w:rFonts w:hint="default" w:ascii="Times New Roman" w:hAnsi="Times New Roman" w:cs="Times New Roman"/>
          <w:sz w:val="24"/>
          <w:szCs w:val="24"/>
          <w:lang w:val="en-US" w:eastAsia="zh-CN"/>
        </w:rPr>
        <w:t>8.3.6.监理机构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施工期的环境监理应由经环境保护培训的单位对设计文件中环境保护措施的实施情况进行工程环境监理。为了保证监理计划的执行，建设单位应在施工前与监理单位签订施工期的环境监理合同。</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64" w:name="8.3.7 监理工作内容"/>
      <w:bookmarkEnd w:id="164"/>
      <w:bookmarkStart w:id="165" w:name="8.3.7 监理工作内容"/>
      <w:bookmarkEnd w:id="165"/>
      <w:r>
        <w:rPr>
          <w:rFonts w:hint="default" w:ascii="Times New Roman" w:hAnsi="Times New Roman" w:cs="Times New Roman"/>
          <w:sz w:val="24"/>
          <w:szCs w:val="24"/>
          <w:lang w:val="en-US" w:eastAsia="zh-CN"/>
        </w:rPr>
        <w:t>8.3.7.监理工作内容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环境保护监理的工作内容针对施工期环境保护措施，以及落实为项目生产营运配套的污染治理设施的“三同时”工作执行情况进行技术监督这一工作任务设置，主要监理内容如下：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1</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施工前期环境监理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⑴污染防治方案的审核：根据具体项目的施工工艺设计，审核施工工艺中的“三废”排放环节，排放的主要污染物及设计中采用的治理技术是否先进，治理措施是否可行。污染物的最终处置方法和去向，应在工程前期按有关文件规定和处理要求，做好计划，并向环保主管部门申报后具体落实，审核整个工艺是否具有清洁生产的特点，并提出合理建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⑵审核施工承包合同中的环境保护专项条款：施工承包单位必须遵循环境保护有关要求，以专项条款的方式在施工承包合同中体现，施工过程中据此加强监督管理</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检查</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监测，减少施工期对环境的污染影响，同时对施工单位的文明施工素质及施工环境管理水平进行审核。</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2</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施工期环境监理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⑴生产废水和生活污水的处理措施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对生产废水和生活污水的来源</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排放量</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水质指标，处理设施的建设过程和处理效果等进行监理。检查是否达到了批准的排放标准。施工场地等区域施工期生产废水</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生活污水</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废渣的处理和排放。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⑵固体废弃物处理措施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固体废弃物处理包括生产</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生活垃圾和生产废渣，达到保持工程所在现场清洁整齐的要求。重点做好弃渣处理弃渣场的防护及恢复。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⑶大气污染防治措施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对施工区的大气污染源</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废气</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粉尘</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排放提出达标控制要求，使施工区及其影响区域达到规定的环境质量标准。重点是距离公路 100 m 范围内集中居民点周围设施的设置工作，并做好道路扬尘的抑制措施。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⑷噪声控制措施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对产生强烈噪声或振动的污染源，要求按设计进行防治。要求采取措施使施工区及其影响区的噪声环境质量达到相应标准。重点是对靠近生活区的施工行为进行监理，包括施工时间安排</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临时防护措施实施情况等。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⑸水土保持措施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包括水土保持工程措施和植物措施的落实。</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⑹生态保护和恢复措施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包括对动植物</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鱼类产生影响的保护措施，以及复耕绿化等其他生态保护和恢复措施。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⑺为生产营运期配套的污染治理设施“三同时”落实情况监督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监督环评报告及其批复中所提出的生产营运期污染的各项治理工程的工艺</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设备</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能力</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规模</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进度按照设计文件的要求进行有效落实，各项环保工程得到有效实施，确保项目“三同时”工作在各个阶段落实到位。</w:t>
      </w:r>
    </w:p>
    <w:p>
      <w:pPr>
        <w:pStyle w:val="5"/>
        <w:keepNext/>
        <w:keepLines/>
        <w:pageBreakBefore w:val="0"/>
        <w:widowControl w:val="0"/>
        <w:numPr>
          <w:ilvl w:val="0"/>
          <w:numId w:val="0"/>
        </w:numPr>
        <w:kinsoku/>
        <w:wordWrap/>
        <w:overflowPunct/>
        <w:topLinePunct w:val="0"/>
        <w:autoSpaceDE w:val="0"/>
        <w:autoSpaceDN w:val="0"/>
        <w:bidi w:val="0"/>
        <w:adjustRightInd/>
        <w:snapToGrid/>
        <w:spacing w:before="0" w:beforeLines="0" w:after="0" w:afterLines="0" w:line="360" w:lineRule="auto"/>
        <w:ind w:leftChars="0" w:right="0" w:rightChars="0"/>
        <w:textAlignment w:val="auto"/>
        <w:outlineLvl w:val="2"/>
        <w:rPr>
          <w:rFonts w:hint="default" w:ascii="Times New Roman" w:hAnsi="Times New Roman" w:cs="Times New Roman"/>
          <w:sz w:val="24"/>
          <w:szCs w:val="24"/>
          <w:lang w:val="en-US" w:eastAsia="zh-CN"/>
        </w:rPr>
      </w:pPr>
      <w:bookmarkStart w:id="166" w:name="8.3.8 监理工作方法"/>
      <w:bookmarkEnd w:id="166"/>
      <w:bookmarkStart w:id="167" w:name="8.3.8 监理工作方法"/>
      <w:bookmarkEnd w:id="167"/>
      <w:r>
        <w:rPr>
          <w:rFonts w:hint="default" w:ascii="Times New Roman" w:hAnsi="Times New Roman" w:cs="Times New Roman"/>
          <w:sz w:val="24"/>
          <w:szCs w:val="24"/>
          <w:lang w:val="en-US" w:eastAsia="zh-CN"/>
        </w:rPr>
        <w:t>8.3.8.监理工作方法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现场监理采取巡视</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旁站的方式。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提示定期对施工现场水</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气</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生态环境进行现场监测。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环境监理人员检查发现</w:t>
      </w:r>
      <w:r>
        <w:rPr>
          <w:rFonts w:hint="eastAsia" w:ascii="Times New Roman" w:hAnsi="Times New Roman" w:cs="Times New Roman"/>
          <w:b w:val="0"/>
          <w:bCs/>
          <w:sz w:val="24"/>
          <w:szCs w:val="24"/>
          <w:lang w:val="en-US" w:eastAsia="zh-CN"/>
        </w:rPr>
        <w:t>环境污染</w:t>
      </w:r>
      <w:r>
        <w:rPr>
          <w:rFonts w:hint="default" w:ascii="Times New Roman" w:hAnsi="Times New Roman" w:cs="Times New Roman"/>
          <w:b w:val="0"/>
          <w:bCs/>
          <w:sz w:val="24"/>
          <w:szCs w:val="24"/>
          <w:lang w:val="en-US"/>
        </w:rPr>
        <w:t>问题时，应立即通知承包商现场负责人员进行纠正。该通知单同时抄送监理部和业主代表。承包商接到环境监理工程师通知后，应对存在的问题进行整改。</w:t>
      </w:r>
    </w:p>
    <w:p>
      <w:pPr>
        <w:pStyle w:val="4"/>
        <w:bidi w:val="0"/>
        <w:rPr>
          <w:rFonts w:hint="default"/>
          <w:lang w:val="en-US" w:eastAsia="zh-CN"/>
        </w:rPr>
      </w:pPr>
      <w:bookmarkStart w:id="168" w:name="_bookmark49"/>
      <w:bookmarkEnd w:id="168"/>
      <w:bookmarkStart w:id="169" w:name="_bookmark49"/>
      <w:bookmarkEnd w:id="169"/>
      <w:bookmarkStart w:id="170" w:name="8.4 环保竣工验收"/>
      <w:bookmarkEnd w:id="170"/>
      <w:bookmarkStart w:id="171" w:name="_Toc15493"/>
      <w:r>
        <w:rPr>
          <w:rFonts w:hint="default"/>
          <w:lang w:val="en-US" w:eastAsia="zh-CN"/>
        </w:rPr>
        <w:t>8.4.环保竣工验收</w:t>
      </w:r>
      <w:bookmarkEnd w:id="17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根据《中华人民共和国环境保护法》及建设项目环境保护管理条例的规定， 本项目应执行环境影响评价制度和环境保护设施与主体工程同时设计</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同时施工</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同时投产使用的“三同时”制度。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竣工环境保护验收是为了查清本工程环境保护措施落实情况，分析已采取环保措施的有效性，确定项目对环境造成的实际影响及可能存在的潜在影响，全面做好生态恢复与污染防治工作。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建设单位应填报《建设项目竣工环境保护验收和污染物排放申请表》向环保部门申请项目污染防治措施竣工环保验收和污染物排放许可证，并附环境保护验收监测报告或调查报告。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rPr>
        <w:t>环境保护验收调查报告由建设单位委托具有相关资质及专业能力的单位编制。建设单位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设计单位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施工单位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环评单位</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rPr>
        <w:t>监测单位或调查报告编制单位应参与验收</w:t>
      </w:r>
      <w:r>
        <w:rPr>
          <w:rFonts w:hint="default" w:ascii="Times New Roman" w:hAnsi="Times New Roman" w:cs="Times New Roman"/>
          <w:b w:val="0"/>
          <w:bCs/>
          <w:sz w:val="24"/>
          <w:szCs w:val="24"/>
          <w:lang w:val="en-US" w:eastAsia="zh-CN"/>
        </w:rPr>
        <w:t>。</w:t>
      </w: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2"/>
        <w:rPr>
          <w:rFonts w:hint="default" w:ascii="Times New Roman" w:hAnsi="Times New Roman" w:cs="Times New Roman"/>
          <w:b w:val="0"/>
          <w:bCs/>
          <w:sz w:val="24"/>
          <w:szCs w:val="24"/>
          <w:lang w:val="en-US" w:eastAsia="zh-CN"/>
        </w:rPr>
      </w:pPr>
    </w:p>
    <w:p>
      <w:pPr>
        <w:rPr>
          <w:rFonts w:hint="default" w:ascii="Times New Roman" w:hAnsi="Times New Roman" w:cs="Times New Roman"/>
          <w:b w:val="0"/>
          <w:bCs/>
          <w:sz w:val="24"/>
          <w:szCs w:val="24"/>
          <w:lang w:val="en-US" w:eastAsia="zh-CN"/>
        </w:rPr>
      </w:pPr>
    </w:p>
    <w:p>
      <w:pPr>
        <w:pStyle w:val="3"/>
        <w:bidi w:val="0"/>
        <w:rPr>
          <w:rFonts w:hint="default"/>
          <w:lang w:val="en-US" w:eastAsia="zh-CN"/>
        </w:rPr>
      </w:pPr>
      <w:bookmarkStart w:id="172" w:name="_Toc16241"/>
      <w:r>
        <w:rPr>
          <w:rFonts w:hint="default"/>
          <w:lang w:val="en-US" w:eastAsia="zh-CN"/>
        </w:rPr>
        <w:t>9.环境影响评价结论</w:t>
      </w:r>
      <w:bookmarkEnd w:id="172"/>
    </w:p>
    <w:p>
      <w:pPr>
        <w:pStyle w:val="4"/>
        <w:bidi w:val="0"/>
        <w:rPr>
          <w:rFonts w:hint="default"/>
          <w:lang w:val="en-US" w:eastAsia="zh-CN"/>
        </w:rPr>
      </w:pPr>
      <w:bookmarkStart w:id="173" w:name="_bookmark51"/>
      <w:bookmarkEnd w:id="173"/>
      <w:bookmarkStart w:id="174" w:name="9.1 工程概况"/>
      <w:bookmarkEnd w:id="174"/>
      <w:bookmarkStart w:id="175" w:name="_Toc12388"/>
      <w:r>
        <w:rPr>
          <w:rFonts w:hint="default"/>
          <w:lang w:val="en-US" w:eastAsia="zh-CN"/>
        </w:rPr>
        <w:t>9.1 工程概况</w:t>
      </w:r>
      <w:bookmarkEnd w:id="175"/>
    </w:p>
    <w:p>
      <w:pPr>
        <w:kinsoku w:val="0"/>
        <w:overflowPunct w:val="0"/>
        <w:autoSpaceDE w:val="0"/>
        <w:autoSpaceDN w:val="0"/>
        <w:adjustRightInd w:val="0"/>
        <w:spacing w:line="360" w:lineRule="auto"/>
        <w:ind w:firstLine="480" w:firstLineChars="200"/>
        <w:jc w:val="left"/>
        <w:rPr>
          <w:rFonts w:hint="default" w:ascii="Times New Roman" w:hAnsi="Times New Roman" w:eastAsia="宋体" w:cs="Times New Roman"/>
          <w:b w:val="0"/>
          <w:bCs w:val="0"/>
          <w:sz w:val="24"/>
          <w:szCs w:val="24"/>
          <w:highlight w:val="none"/>
          <w:lang w:val="en-US" w:eastAsia="zh-CN" w:bidi="zh-CN"/>
        </w:rPr>
      </w:pPr>
      <w:bookmarkStart w:id="176" w:name="9.2 路线比选及重要环境影响因素分析"/>
      <w:bookmarkEnd w:id="176"/>
      <w:bookmarkStart w:id="177" w:name="_bookmark52"/>
      <w:bookmarkEnd w:id="177"/>
      <w:r>
        <w:rPr>
          <w:rFonts w:hint="default" w:ascii="Times New Roman" w:hAnsi="Times New Roman" w:cs="Times New Roman"/>
          <w:b w:val="0"/>
          <w:bCs/>
          <w:sz w:val="24"/>
          <w:szCs w:val="24"/>
          <w:lang w:val="en-US" w:eastAsia="zh-CN"/>
        </w:rPr>
        <w:t>渠县临巴镇绕场镇改线工程是区域重要干线道路 S203 线的重要组成路段，</w:t>
      </w:r>
      <w:r>
        <w:rPr>
          <w:rFonts w:hint="default" w:ascii="Times New Roman" w:hAnsi="Times New Roman" w:cs="Times New Roman"/>
          <w:sz w:val="24"/>
          <w:szCs w:val="24"/>
          <w:lang w:eastAsia="zh-CN"/>
        </w:rPr>
        <w:t>位于</w:t>
      </w:r>
      <w:r>
        <w:rPr>
          <w:rFonts w:hint="default" w:ascii="Times New Roman" w:hAnsi="Times New Roman" w:cs="Times New Roman"/>
          <w:sz w:val="24"/>
          <w:szCs w:val="24"/>
          <w:lang w:val="en-US" w:eastAsia="zh-CN"/>
        </w:rPr>
        <w:t>渠县临巴镇，起点位于临巴镇北侧福善村北侧，终点位于临巴镇幸福大道。路线全长3.83km，按二级公路标准设计，设计时速60km，桥梁194m/2座，涵洞398m/12道。全线</w:t>
      </w:r>
      <w:r>
        <w:rPr>
          <w:rFonts w:hint="default" w:ascii="Times New Roman" w:hAnsi="Times New Roman" w:eastAsia="宋体" w:cs="Times New Roman"/>
          <w:b w:val="0"/>
          <w:bCs w:val="0"/>
          <w:sz w:val="24"/>
          <w:szCs w:val="24"/>
          <w:highlight w:val="none"/>
          <w:lang w:val="en-US" w:eastAsia="zh-CN"/>
        </w:rPr>
        <w:t>合计挖方20.993万m3</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含表土4.7万m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vertAlign w:val="superscript"/>
          <w:lang w:val="en-US" w:eastAsia="zh-CN"/>
        </w:rPr>
        <w:t>）</w:t>
      </w:r>
      <w:r>
        <w:rPr>
          <w:rFonts w:hint="default" w:ascii="Times New Roman" w:hAnsi="Times New Roman" w:eastAsia="宋体" w:cs="Times New Roman"/>
          <w:b w:val="0"/>
          <w:bCs w:val="0"/>
          <w:sz w:val="24"/>
          <w:szCs w:val="24"/>
          <w:highlight w:val="none"/>
          <w:lang w:val="en-US" w:eastAsia="zh-CN"/>
        </w:rPr>
        <w:t>，填方46.6184万m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vertAlign w:val="superscript"/>
          <w:lang w:val="en-US" w:eastAsia="zh-CN"/>
        </w:rPr>
        <w:t>（</w:t>
      </w:r>
      <w:r>
        <w:rPr>
          <w:rFonts w:hint="default" w:ascii="Times New Roman" w:hAnsi="Times New Roman" w:eastAsia="宋体" w:cs="Times New Roman"/>
          <w:b w:val="0"/>
          <w:bCs w:val="0"/>
          <w:sz w:val="24"/>
          <w:szCs w:val="24"/>
          <w:highlight w:val="none"/>
          <w:lang w:val="en-US" w:eastAsia="zh-CN"/>
        </w:rPr>
        <w:t>含表土4.7万m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vertAlign w:val="superscript"/>
          <w:lang w:val="en-US" w:eastAsia="zh-CN"/>
        </w:rPr>
        <w:t>）</w:t>
      </w:r>
      <w:r>
        <w:rPr>
          <w:rFonts w:hint="default" w:ascii="Times New Roman" w:hAnsi="Times New Roman" w:eastAsia="宋体" w:cs="Times New Roman"/>
          <w:b w:val="0"/>
          <w:bCs w:val="0"/>
          <w:sz w:val="24"/>
          <w:szCs w:val="24"/>
          <w:highlight w:val="none"/>
          <w:lang w:val="en-US" w:eastAsia="zh-CN"/>
        </w:rPr>
        <w:t>，借方28.6254万m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，弃方3万m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bidi="zh-CN"/>
        </w:rPr>
        <w:t>本工程永久占地235.2亩，占地类型主要包括林地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耕地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旱地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交通运输用地等；临时占地为取土场</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弃渣场，占地类型为荒地</w:t>
      </w:r>
      <w:r>
        <w:rPr>
          <w:rFonts w:hint="eastAsia" w:ascii="Times New Roman" w:hAnsi="Times New Roman" w:cs="Times New Roman"/>
          <w:b w:val="0"/>
          <w:bCs w:val="0"/>
          <w:sz w:val="24"/>
          <w:szCs w:val="24"/>
          <w:highlight w:val="none"/>
          <w:lang w:val="en-US" w:eastAsia="zh-CN" w:bidi="zh-CN"/>
        </w:rPr>
        <w:t>、</w:t>
      </w:r>
      <w:r>
        <w:rPr>
          <w:rFonts w:hint="default" w:ascii="Times New Roman" w:hAnsi="Times New Roman" w:eastAsia="宋体" w:cs="Times New Roman"/>
          <w:b w:val="0"/>
          <w:bCs w:val="0"/>
          <w:sz w:val="24"/>
          <w:szCs w:val="24"/>
          <w:highlight w:val="none"/>
          <w:lang w:val="en-US" w:eastAsia="zh-CN" w:bidi="zh-CN"/>
        </w:rPr>
        <w:t>耕地。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本工程预计2022年开工，2024年竣工，施工期13个月，总投资估算</w:t>
      </w:r>
      <w:r>
        <w:rPr>
          <w:rFonts w:hint="default" w:ascii="Times New Roman" w:hAnsi="Times New Roman" w:eastAsia="宋体" w:cs="Times New Roman"/>
          <w:b w:val="0"/>
          <w:bCs w:val="0"/>
          <w:sz w:val="24"/>
          <w:szCs w:val="24"/>
          <w:highlight w:val="none"/>
          <w:lang w:val="en-US" w:eastAsia="zh-CN" w:bidi="zh-CN"/>
        </w:rPr>
        <w:t>16740</w:t>
      </w:r>
      <w:r>
        <w:rPr>
          <w:rFonts w:hint="default" w:ascii="Times New Roman" w:hAnsi="Times New Roman" w:cs="Times New Roman"/>
          <w:b w:val="0"/>
          <w:bCs w:val="0"/>
          <w:sz w:val="24"/>
          <w:szCs w:val="24"/>
          <w:highlight w:val="none"/>
          <w:lang w:val="en-US" w:eastAsia="zh-CN" w:bidi="zh-CN"/>
        </w:rPr>
        <w:t>万元。</w:t>
      </w:r>
    </w:p>
    <w:p>
      <w:pPr>
        <w:pStyle w:val="4"/>
        <w:bidi w:val="0"/>
        <w:rPr>
          <w:rFonts w:hint="default"/>
          <w:lang w:val="en-US" w:eastAsia="zh-CN"/>
        </w:rPr>
      </w:pPr>
      <w:bookmarkStart w:id="178" w:name="_Toc24539"/>
      <w:r>
        <w:rPr>
          <w:rFonts w:hint="default"/>
          <w:lang w:val="en-US" w:eastAsia="zh-CN"/>
        </w:rPr>
        <w:t>9.2.相关规划和政策符合性</w:t>
      </w:r>
      <w:bookmarkEnd w:id="178"/>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bookmarkStart w:id="179" w:name="_bookmark53"/>
      <w:bookmarkEnd w:id="179"/>
      <w:bookmarkStart w:id="180" w:name="_bookmark53"/>
      <w:bookmarkEnd w:id="180"/>
      <w:bookmarkStart w:id="181" w:name="9.3 生态环境"/>
      <w:bookmarkEnd w:id="181"/>
      <w:r>
        <w:rPr>
          <w:rFonts w:hint="default" w:ascii="Times New Roman" w:hAnsi="Times New Roman" w:cs="Times New Roman"/>
          <w:b w:val="0"/>
          <w:bCs/>
          <w:sz w:val="24"/>
          <w:szCs w:val="24"/>
          <w:lang w:val="en-US" w:eastAsia="zh-CN"/>
        </w:rPr>
        <w:t>（1）产业政策符合性</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根据《产业结构调整指导目录（2019年本）》相关规定，本项目符合其中第一类“鼓励类”第二十四条“公路及道路运输（含城市客运）”中第2条“国省干线改造升级”之要求，为鼓励类。</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本项目为等级公路建设项目，占地235.2亩，根据建设单位提供资料，项目占地为旱地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林地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农田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荒地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河道</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宅基地</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旧路占地。2021年7月26日，渠县自然资源局出具了《关于渠县临巴镇绕场镇改线工程项目规划选址和用地预审意见的复函》渠自然资函〔2021〕342号，函复：本项目不涉及占用永久基本农田，不影响临巴镇场镇规划；根据《限制用地项目目录》（2012年本）</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《禁止用地项目目录》（2012年本），本项目的建设不属于限制用地和禁止用地范围。</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2021年3月25日，渠县发展和改革局出具了《关于渠县临巴镇绕场镇改线工程项目可行性研究报告（代项目建议书）的批复》渠发改审〔2021〕106号批准项目实施。</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因此，本项目建设符合国家和地方现行产业政策。</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（2）建设项目与《渠县“十四五”综合交通运输发展规划》符合性</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位于渠县东部，是区域重要场镇临巴镇的重要场镇过境道路，也是区域重要干线道S203线的重要组成路段。项目区位于渠江东岸，华蓥山西麓，受地理位置影响，渠江东岸地区形成较为独特的交通格局，区域场镇建设及经济活动主要分布于远期S203线走廊带沿线，S203线的建设将是带动渠县渠江东岸地区的重要举措。本项目作为S203线的重要路段，是S203线建设的先期尝试，将为全县S203线的全线开展建设提供宝贵经验，同时也是构建渠县打造内联外畅，融入“一圈一区”一小时交通圈，县域内“30 分钟经济圈”的综合交通体系目标的重要体现。</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本项目符合渠县“十四五”交通运输规划的需要。</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（3）建设项目与风洞子航电枢纽符合性</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渠江是嘉陵江下游左岸最大支流，水力资源丰富，是四川省规划的“5+2”航道体系中的重要航运干线之一，其建设已纳入四川省构建长江经济带综合立体交通走廊规划的重点项目。渠县渠江风洞子航运工程是渠江</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达州至广安段</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航运发展规划六级开发方案的第三级，项目总投资约45亿元，位于渠县县城上游锡溪河段，下接凉滩枢纽，上接舵石鼓枢纽。工程涉及渠县李馥镇</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临巴镇</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合力镇</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渠北镇</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渠江街道</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天星街道等地。该项目的建设将完成渠江航道等级提升，作为全省内河水运建设的重要组成部分，其建设将实现360km渠江干流航道的渠化，消除南阳滩老旧枢纽的安全隐患，扫除渠江高等级航道建设的障碍，有利于全省水运建设目标的实现，使全省内河航道网络更趋完善。目前该项目的建设正在稳步推进之中。</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受远期风洞子航电枢纽蓄水位影响，现有临巴场镇大部分区域将处于淹没区域。最新临巴场镇规划已经进行了对应调整，主体功能区调整至南侧高地。现有的XS26线是区域南北向最重要的通道，现状道路穿越临巴场镇内部，部分路段标高过低，一旦远期风洞子航电枢纽正常蓄水，现有道路XS26线将可能受到水库蓄水的不利影响阻碍区域物流运输。</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综上，本项目符合解决风洞子航电枢纽淹没临巴场镇阻碍交通的需要。</w:t>
      </w:r>
    </w:p>
    <w:p>
      <w:pPr>
        <w:kinsoku w:val="0"/>
        <w:overflowPunct w:val="0"/>
        <w:autoSpaceDE w:val="0"/>
        <w:autoSpaceDN w:val="0"/>
        <w:adjustRightInd w:val="0"/>
        <w:spacing w:line="360" w:lineRule="auto"/>
        <w:ind w:firstLine="480" w:firstLineChars="200"/>
        <w:jc w:val="left"/>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（4）项目建设“三线一单”符合性</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kern w:val="2"/>
          <w:sz w:val="24"/>
          <w:szCs w:val="24"/>
          <w:highlight w:val="none"/>
          <w:lang w:eastAsia="zh-CN"/>
        </w:rPr>
        <w:t>本项目位于</w:t>
      </w:r>
      <w:r>
        <w:rPr>
          <w:rFonts w:hint="default" w:ascii="Times New Roman" w:hAnsi="Times New Roman" w:eastAsia="宋体" w:cs="Times New Roman"/>
          <w:b w:val="0"/>
          <w:bCs w:val="0"/>
          <w:kern w:val="2"/>
          <w:sz w:val="24"/>
          <w:szCs w:val="24"/>
          <w:highlight w:val="none"/>
          <w:lang w:val="en-US" w:eastAsia="zh-CN"/>
        </w:rPr>
        <w:t>渠县临巴镇，起点位于临巴镇北侧福善村北侧，终点位于临巴镇幸福大道</w:t>
      </w:r>
      <w:r>
        <w:rPr>
          <w:rFonts w:hint="default" w:ascii="Times New Roman" w:hAnsi="Times New Roman" w:cs="Times New Roman"/>
          <w:b w:val="0"/>
          <w:bCs w:val="0"/>
          <w:sz w:val="24"/>
          <w:szCs w:val="24"/>
          <w:lang w:val="en-US" w:eastAsia="zh-CN"/>
        </w:rPr>
        <w:t>，不涉及达州市生态保护红线范围，因此本项目符合生态保护红线要求；本项目施工期废水通过处理后循环使用；运营期不排放废水。因此项目的建设符合达州市“三线一单”阶段性成果水环境管控分区要求；本项目大气污染物严格执行排放限值达标排放；施工期严格执行《四川省建筑工程扬尘污染防治技术导则（试行）》</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《四川省施工场地扬尘排放标准》（DB51/2682-2020）相关要求；</w:t>
      </w:r>
      <w:r>
        <w:rPr>
          <w:rFonts w:hint="default" w:ascii="Times New Roman" w:hAnsi="Times New Roman" w:eastAsia="宋体" w:cs="Times New Roman"/>
          <w:b w:val="0"/>
          <w:bCs w:val="0"/>
          <w:kern w:val="0"/>
          <w:sz w:val="24"/>
          <w:szCs w:val="24"/>
          <w:highlight w:val="none"/>
        </w:rPr>
        <w:t>营运期：车辆尾气通过提高燃料品质</w:t>
      </w:r>
      <w:r>
        <w:rPr>
          <w:rFonts w:hint="eastAsia" w:ascii="Times New Roman" w:hAnsi="Times New Roman" w:cs="Times New Roman"/>
          <w:b w:val="0"/>
          <w:bCs w:val="0"/>
          <w:kern w:val="0"/>
          <w:sz w:val="24"/>
          <w:szCs w:val="24"/>
          <w:highlight w:val="none"/>
          <w:lang w:eastAsia="zh-CN"/>
        </w:rPr>
        <w:t>、</w:t>
      </w:r>
      <w:r>
        <w:rPr>
          <w:rFonts w:hint="default" w:ascii="Times New Roman" w:hAnsi="Times New Roman" w:eastAsia="宋体" w:cs="Times New Roman"/>
          <w:b w:val="0"/>
          <w:bCs w:val="0"/>
          <w:kern w:val="0"/>
          <w:sz w:val="24"/>
          <w:szCs w:val="24"/>
          <w:highlight w:val="none"/>
        </w:rPr>
        <w:t>车辆加装尾气处理装置</w:t>
      </w:r>
      <w:r>
        <w:rPr>
          <w:rFonts w:hint="eastAsia" w:ascii="Times New Roman" w:hAnsi="Times New Roman" w:cs="Times New Roman"/>
          <w:b w:val="0"/>
          <w:bCs w:val="0"/>
          <w:kern w:val="0"/>
          <w:sz w:val="24"/>
          <w:szCs w:val="24"/>
          <w:highlight w:val="none"/>
          <w:lang w:eastAsia="zh-CN"/>
        </w:rPr>
        <w:t>、</w:t>
      </w:r>
      <w:r>
        <w:rPr>
          <w:rFonts w:hint="default" w:ascii="Times New Roman" w:hAnsi="Times New Roman" w:eastAsia="宋体" w:cs="Times New Roman"/>
          <w:b w:val="0"/>
          <w:bCs w:val="0"/>
          <w:kern w:val="0"/>
          <w:sz w:val="24"/>
          <w:szCs w:val="24"/>
          <w:highlight w:val="none"/>
        </w:rPr>
        <w:t>控制车速来防治车辆尾气</w:t>
      </w:r>
      <w:r>
        <w:rPr>
          <w:rFonts w:hint="eastAsia" w:ascii="Times New Roman" w:hAnsi="Times New Roman" w:cs="Times New Roman"/>
          <w:b w:val="0"/>
          <w:bCs w:val="0"/>
          <w:kern w:val="0"/>
          <w:sz w:val="24"/>
          <w:szCs w:val="24"/>
          <w:highlight w:val="none"/>
          <w:lang w:eastAsia="zh-CN"/>
        </w:rPr>
        <w:t>、</w:t>
      </w:r>
      <w:r>
        <w:rPr>
          <w:rFonts w:hint="default" w:ascii="Times New Roman" w:hAnsi="Times New Roman" w:eastAsia="宋体" w:cs="Times New Roman"/>
          <w:b w:val="0"/>
          <w:bCs w:val="0"/>
          <w:kern w:val="0"/>
          <w:sz w:val="24"/>
          <w:szCs w:val="24"/>
          <w:highlight w:val="none"/>
        </w:rPr>
        <w:t>扬尘，加强道路两侧绿化控制</w:t>
      </w:r>
      <w:r>
        <w:rPr>
          <w:rFonts w:hint="default" w:ascii="Times New Roman" w:hAnsi="Times New Roman" w:cs="Times New Roman"/>
          <w:b w:val="0"/>
          <w:bCs w:val="0"/>
          <w:sz w:val="24"/>
          <w:szCs w:val="24"/>
          <w:lang w:val="en-US" w:eastAsia="zh-CN"/>
        </w:rPr>
        <w:t>。因此项目的建设符合达州市“三线一单”阶段性成果大气环境管控分区要求；根据本项目取得的《关于渠县临巴镇绕场镇改线工程</w:t>
      </w:r>
      <w:r>
        <w:rPr>
          <w:rFonts w:hint="default" w:ascii="Times New Roman" w:hAnsi="Times New Roman" w:cs="Times New Roman"/>
          <w:b w:val="0"/>
          <w:bCs w:val="0"/>
          <w:sz w:val="24"/>
          <w:szCs w:val="24"/>
        </w:rPr>
        <w:t>项目</w:t>
      </w:r>
      <w:r>
        <w:rPr>
          <w:rFonts w:hint="default" w:ascii="Times New Roman" w:hAnsi="Times New Roman" w:cs="Times New Roman"/>
          <w:b w:val="0"/>
          <w:bCs w:val="0"/>
          <w:sz w:val="24"/>
          <w:szCs w:val="24"/>
          <w:lang w:val="en-US" w:eastAsia="zh-CN"/>
        </w:rPr>
        <w:t>规划选址和用地预审意见的复函》本项目用地不涉及基本农田。因此项目的建设符合达州市“三线一单”阶段性成果土地环境风险管控分区要求；根据达州市“三线一单”阶段性成果，达州市共划分了8个高污染燃料禁煤区，本项目所在区域不属于高污染燃料禁煤区；本项目运营期不消耗水资源；本项目所在区域属于一般管控区。根据中华人民共和国国家发展和改革委员会（第29号令）《产业结构调整指导目录（2019年本）》可知，本项目属于鼓励类。因此满足达州市“三线一单”中的分区管控要求，与文件相符。故本项目</w:t>
      </w:r>
      <w:r>
        <w:rPr>
          <w:rFonts w:hint="default" w:ascii="Times New Roman" w:hAnsi="Times New Roman" w:cs="Times New Roman"/>
          <w:b w:val="0"/>
          <w:bCs w:val="0"/>
          <w:sz w:val="24"/>
          <w:szCs w:val="24"/>
        </w:rPr>
        <w:t>符合“三线一单”管控要求。</w:t>
      </w:r>
    </w:p>
    <w:p>
      <w:pPr>
        <w:pStyle w:val="4"/>
        <w:bidi w:val="0"/>
        <w:rPr>
          <w:rFonts w:hint="default"/>
          <w:lang w:val="en-US" w:eastAsia="zh-CN"/>
        </w:rPr>
      </w:pPr>
      <w:bookmarkStart w:id="182" w:name="_Toc15411"/>
      <w:r>
        <w:rPr>
          <w:rFonts w:hint="default"/>
          <w:lang w:val="en-US" w:eastAsia="zh-CN"/>
        </w:rPr>
        <w:t>9.3.生态环境</w:t>
      </w:r>
      <w:bookmarkEnd w:id="18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rPr>
      </w:pPr>
      <w:bookmarkStart w:id="183" w:name="_bookmark54"/>
      <w:bookmarkEnd w:id="183"/>
      <w:bookmarkStart w:id="184" w:name="_bookmark54"/>
      <w:bookmarkEnd w:id="184"/>
      <w:bookmarkStart w:id="185" w:name="9.4 声环境"/>
      <w:bookmarkEnd w:id="185"/>
      <w:r>
        <w:rPr>
          <w:rFonts w:hint="default" w:ascii="Times New Roman" w:hAnsi="Times New Roman" w:cs="Times New Roman"/>
          <w:sz w:val="24"/>
          <w:szCs w:val="24"/>
          <w:lang w:val="en-US" w:eastAsia="zh-CN"/>
        </w:rPr>
        <w:t>工程建设将会对沿线生态环境产生一定的不利影响，其影响行为主要表现于工程永久性占地和临时占地布设及其施工活动。由于本工程沿线主要为耕地，工程占地将会对农业生态系统带来一定影响。本工程沿线村镇和低山丘陵区内分布有少量人工林，丘陵和山体中上部集中分布针阔混交林，工程建设将会对林地产生一定影响。工程在实施过程中应该加强对沿线生态环境的保护， 尤其要注意温减小对沿线植被</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耕地的侵占和破坏，严格按照国家政策的规定做好征地后的土地调整与土地补偿工作，落实基本农田保护措施，办理相关占压林地手续并实施小龄苗木移栽，同时加强工程建设过程中的水土保持工程措施，在落实各项环境保护措施和生态恢复措施之后，工程建设对沿线生态环境的影响是可以接受的。</w:t>
      </w:r>
    </w:p>
    <w:p>
      <w:pPr>
        <w:pStyle w:val="4"/>
        <w:bidi w:val="0"/>
        <w:rPr>
          <w:rFonts w:hint="default"/>
          <w:lang w:val="en-US" w:eastAsia="zh-CN"/>
        </w:rPr>
      </w:pPr>
      <w:bookmarkStart w:id="186" w:name="_Toc20961"/>
      <w:r>
        <w:rPr>
          <w:rFonts w:hint="default"/>
          <w:lang w:val="en-US" w:eastAsia="zh-CN"/>
        </w:rPr>
        <w:t>9.4.声环境</w:t>
      </w:r>
      <w:bookmarkEnd w:id="186"/>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声环境质量现状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rPr>
        <w:t>本项目</w:t>
      </w:r>
      <w:r>
        <w:rPr>
          <w:rFonts w:hint="default" w:ascii="Times New Roman" w:hAnsi="Times New Roman" w:cs="Times New Roman"/>
          <w:lang w:val="en-US" w:eastAsia="zh-CN"/>
        </w:rPr>
        <w:t>位于渠县临巴镇</w:t>
      </w:r>
      <w:r>
        <w:rPr>
          <w:rFonts w:hint="default" w:ascii="Times New Roman" w:hAnsi="Times New Roman" w:cs="Times New Roman"/>
        </w:rPr>
        <w:t>，所经区域均为浅丘区，沿线人口较为密集。经现场踏勘调查，本项目路线中心线两侧各 200m 范围内受影响的声环境和环境空气保护目标有</w:t>
      </w:r>
      <w:r>
        <w:rPr>
          <w:rFonts w:hint="default" w:ascii="Times New Roman" w:hAnsi="Times New Roman" w:cs="Times New Roman"/>
          <w:lang w:val="en-US" w:eastAsia="zh-CN"/>
        </w:rPr>
        <w:t>6</w:t>
      </w:r>
      <w:r>
        <w:rPr>
          <w:rFonts w:hint="default" w:ascii="Times New Roman" w:hAnsi="Times New Roman" w:cs="Times New Roman"/>
        </w:rPr>
        <w:t>处，</w:t>
      </w:r>
      <w:r>
        <w:rPr>
          <w:rFonts w:hint="default" w:ascii="Times New Roman" w:hAnsi="Times New Roman" w:cs="Times New Roman"/>
          <w:lang w:val="en-US" w:eastAsia="zh-CN"/>
        </w:rPr>
        <w:t>均为</w:t>
      </w:r>
      <w:r>
        <w:rPr>
          <w:rFonts w:hint="default" w:ascii="Times New Roman" w:hAnsi="Times New Roman" w:cs="Times New Roman"/>
        </w:rPr>
        <w:t>一般居民点，</w:t>
      </w:r>
      <w:r>
        <w:rPr>
          <w:rFonts w:hint="default" w:ascii="Times New Roman" w:hAnsi="Times New Roman" w:cs="Times New Roman"/>
          <w:lang w:val="en-US" w:eastAsia="zh-CN"/>
        </w:rPr>
        <w:t>约208户，</w:t>
      </w:r>
      <w:r>
        <w:rPr>
          <w:rFonts w:hint="default" w:ascii="Times New Roman" w:hAnsi="Times New Roman" w:cs="Times New Roman"/>
          <w:sz w:val="24"/>
          <w:szCs w:val="24"/>
          <w:lang w:val="en-US" w:eastAsia="zh-CN"/>
        </w:rPr>
        <w:t>本次评价对代表性敏感点进行现状监测。从现场踏勘和监测资料分析可知，敏感点主要噪声源自交通噪声和生活噪声，所有监测敏感点噪声现状监测值均达到《声环境质量标准》（GB3096-2008）中的 2 类和 4a类标准要求。通过对代表性声环境敏感点的现状监测结果进行分析，表明本项目评价范围内声环境质量良好。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主要环境影响及保护措施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（1）施工期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本项目施工阶段的主要噪声来自于施工过程中施工机械和运输车辆辐射的噪声，具有高噪声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无规律的特点，它对外环境的影响是暂时的，随施工结束而消失。但由于在施工过程中采用的机械设备噪声值很高，如不加以控制，会对附近的居民生活产生较大的影响。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zh-CN" w:eastAsia="zh-CN" w:bidi="zh-CN"/>
        </w:rPr>
        <w:t>为此</w:t>
      </w:r>
      <w:r>
        <w:rPr>
          <w:rFonts w:hint="default" w:ascii="Times New Roman" w:hAnsi="Times New Roman" w:eastAsia="宋体" w:cs="Times New Roman"/>
          <w:b w:val="0"/>
          <w:bCs w:val="0"/>
          <w:sz w:val="24"/>
          <w:szCs w:val="24"/>
          <w:lang w:val="en-US" w:eastAsia="zh-CN" w:bidi="zh-CN"/>
        </w:rPr>
        <w:t>，本次评价提出以下环保措施。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（1）合理安排施工计划和施工机械设备组合以及施工时间，禁止在午休时间和夜间（22:00-6:00）进行高噪施工，避免在同一时间集中使用大量的动力机械设备。严格执行《建筑施工场界环境噪声排放标准》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GB12523-2011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的要求，在施工过程中，尽量减少运行动力机械设备的数量，尽可能使动力机械设备比较均匀地使用；</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（2）施工进行合理布局，尽量使高噪声的机械设备远离周围敏感点，项目西侧约2m党群服务中心面向拟建道路一侧高1.2m处</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项目东侧约5m处四合村居民面向拟建道路一侧高1.2m处环评要求此段道路施工时设置移动声屏障，并进行现场监测，在满足《建筑施工场界环境噪声排放标准》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GB12523-2011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的要求下实施施工；</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（3）其中路段涉及各处声环境敏感目标较近处均要求对施工现场架设2.5m~3m高施工围墙，封闭施工现场，以减少施工噪声对周围敏感点的影响；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（4）科学安排施工现场运输车辆作业时间，设法压缩汽车数量及行车频率，运输时在城区及施工场地严禁鸣笛；</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（5）施工单位应选用符合国家有关标准的施工机具和运输车辆，加强机械设备的维护和保养，使其能在正常状态下运转，防止由于机械设备的“带病”工作而提高噪声声级。</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环评要求施工单位严格采取上述噪声防治措施，确保施工期间场界噪声满足《建筑施工场界环境噪声排放标准》（GB12523-2011）中相关要求，实现场界处达标排放，严禁出现施工噪声扰民现象。施工期噪声是暂时的，施工单位采取相应降噪措施的情况下，本环评认为该项目施工期噪声是可以接受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（2）运营期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道路新建后营运期噪声源主要是道路行驶的各种车辆在行驶过程中产生的交通噪声（包括机动车发动机噪声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排气噪声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车体振动噪声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传动和制动噪声等）其中发动机噪声是主要污染源。</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逐步完善和提高机动车噪声的排放标准。实行定期检测机动车噪声的制度，对超标车辆实行强行维修，直到噪声达标才能上路行驶。淘汰噪声较大的车辆。制定机动车单车噪声的控制规划和目标，逐步降低其单车噪声值，是降低道路交通噪声最直接最有效的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（2）交通管理部门宜利用交通管理手段，在居民集中区路段采取禁止超载</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超速的管理措施，减少突发噪声的干扰。</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（3）加强项目路面保养，保持路面平整，定期进行清洗，保障路面吸声效果，并避免路况不佳造成车辆颠簸增大噪声。</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（4）定期保养</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维修隔声</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吸声设施，确保隔声屏障的降噪效果。</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（5）设置213m长4m高声屏障</w:t>
      </w:r>
      <w:r>
        <w:rPr>
          <w:rFonts w:hint="default" w:ascii="Times New Roman" w:hAnsi="Times New Roman" w:cs="Times New Roman"/>
          <w:b w:val="0"/>
          <w:bCs w:val="0"/>
          <w:sz w:val="24"/>
          <w:szCs w:val="24"/>
          <w:lang w:val="en-US" w:eastAsia="zh-CN" w:bidi="zh-CN"/>
        </w:rPr>
        <w:t>.</w:t>
      </w:r>
    </w:p>
    <w:p>
      <w:pPr>
        <w:pStyle w:val="4"/>
        <w:bidi w:val="0"/>
        <w:rPr>
          <w:rFonts w:hint="default"/>
          <w:lang w:val="en-US" w:eastAsia="zh-CN"/>
        </w:rPr>
      </w:pPr>
      <w:bookmarkStart w:id="187" w:name="_bookmark55"/>
      <w:bookmarkEnd w:id="187"/>
      <w:bookmarkStart w:id="188" w:name="_bookmark55"/>
      <w:bookmarkEnd w:id="188"/>
      <w:bookmarkStart w:id="189" w:name="9.5 地表水环境"/>
      <w:bookmarkEnd w:id="189"/>
      <w:bookmarkStart w:id="190" w:name="_Toc4070"/>
      <w:r>
        <w:rPr>
          <w:rFonts w:hint="default"/>
          <w:lang w:val="en-US" w:eastAsia="zh-CN"/>
        </w:rPr>
        <w:t>9.5.地表水环境</w:t>
      </w:r>
      <w:bookmarkEnd w:id="190"/>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地表水环境质量现状</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本项目2处跨越渠江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eastAsia="宋体" w:cs="Times New Roman"/>
          <w:b w:val="0"/>
          <w:bCs w:val="0"/>
          <w:sz w:val="24"/>
          <w:szCs w:val="24"/>
          <w:lang w:val="en-US" w:eastAsia="zh-CN" w:bidi="zh-CN"/>
        </w:rPr>
        <w:t>，不涉及饮用水源保护区</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鱼类“三场”。根据《2020年达州市生态环境状况公报》：2020年全市区域水质状况评价为优（以年均值进行评价，粪大肠菌群不参与水质总体评价），23条河流37个地表水断面中优良水质（I~III类）断面34个，占91.9%；IV类水质断面2个，占5.4%；V类水质断面1个，占2.7%；无劣V类水质断面。河流水质超标污染物有总磷</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氨氮</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化学需氧量。年均值超标的断面为东柳河墩子河</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平滩河牛角滩</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铜钵河山溪口码头。</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本项目位于达州市渠县临江镇，地表水体主要为渠江及</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eastAsia="宋体" w:cs="Times New Roman"/>
          <w:b w:val="0"/>
          <w:bCs w:val="0"/>
          <w:sz w:val="24"/>
          <w:szCs w:val="24"/>
          <w:lang w:val="en-US" w:eastAsia="zh-CN" w:bidi="zh-CN"/>
        </w:rPr>
        <w:t>。属于地表水环境质量达标区。本项目本身在运营期不产生污水，不会对周边水环境产生不利影响。</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主要环境影响及保护措施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（1）施工期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项目施工期产生的废水主要为离场车辆的冲洗废水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生活污水</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桥梁施工废水。不同废水采取不同的措施进行治理，如下：</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1）桥梁施工废水：施工场地内设沉浆池，泥浆水等施工废水经处理后回用，不得直接排入水体；钻渣经沉淀池处理后沉渣运至弃渣场填埋处理，不得直接弃入河滩或河道。</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施工机械及车辆冲洗废水：在施工区进出口修建2个沉淀池交替使用，每次的冲洗废水排入其中的一个沉淀池内，静置沉淀到下一次上清液回用，不得直接排入水体；沉淀池内沉淀物主要是泥沙，应定期清运用于工程低洼地做回填料使用，不得直接弃入河滩或河道。</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3）施工人员利用附近公共厕所或居民厕所如厕，施工人员生活污水利用既有的环保设施收集处理。</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项目施工期采取了上述防治措施后，其施工期产生的各项废水可得到有效控制，大部分废水均可实现回用不外排，部分外排废水也能够实现达标排放。项目施工期对地表水环境影响较小。</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（2）运营期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营运期路面径流在非事故状态下，基本可接近国家规定的排放标准，不会造成对环境的污染影响，但在汽车保养状况不良</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发生故障</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出现事故等时，都可能泄漏汽油和机油污染路面，在遇降雨后，雨水经道路雨水管道</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排水边沟流入附近的水域，造成石油类和COD的污染影响，应通过交通管理措施，避免类似事故发生（详见风险防范措施）。</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在采取以上措施后，本工程运营期间对区域地表水体的影响较小。</w:t>
      </w:r>
    </w:p>
    <w:p>
      <w:pPr>
        <w:pStyle w:val="4"/>
        <w:bidi w:val="0"/>
        <w:rPr>
          <w:rFonts w:hint="default"/>
          <w:lang w:val="en-US" w:eastAsia="zh-CN"/>
        </w:rPr>
      </w:pPr>
      <w:bookmarkStart w:id="191" w:name="_bookmark56"/>
      <w:bookmarkEnd w:id="191"/>
      <w:bookmarkStart w:id="192" w:name="_bookmark56"/>
      <w:bookmarkEnd w:id="192"/>
      <w:bookmarkStart w:id="193" w:name="9.6环境空气"/>
      <w:bookmarkEnd w:id="193"/>
      <w:bookmarkStart w:id="194" w:name="_Toc6939"/>
      <w:r>
        <w:rPr>
          <w:rFonts w:hint="default"/>
          <w:lang w:val="en-US" w:eastAsia="zh-CN"/>
        </w:rPr>
        <w:t>9.6.环境空气</w:t>
      </w:r>
      <w:bookmarkEnd w:id="194"/>
    </w:p>
    <w:p>
      <w:pPr>
        <w:autoSpaceDE w:val="0"/>
        <w:autoSpaceDN w:val="0"/>
        <w:adjustRightInd w:val="0"/>
        <w:snapToGrid w:val="0"/>
        <w:spacing w:line="360" w:lineRule="auto"/>
        <w:ind w:firstLine="480" w:firstLineChars="200"/>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空气</w:t>
      </w:r>
      <w:r>
        <w:rPr>
          <w:rFonts w:hint="default" w:ascii="Times New Roman" w:hAnsi="Times New Roman" w:eastAsia="宋体" w:cs="Times New Roman"/>
          <w:b w:val="0"/>
          <w:bCs w:val="0"/>
          <w:sz w:val="24"/>
          <w:szCs w:val="24"/>
          <w:lang w:val="en-US" w:eastAsia="zh-CN" w:bidi="zh-CN"/>
        </w:rPr>
        <w:t>环境质量现状</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本项目路线涉及的区域大气环境质量现状满足《环境空气质量标准》</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GB3095-2012</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二级标准，项目区属于达标区。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主要环境影响及保护措施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（1）施工期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施工期的环境空气污染主要是扬尘，即 TSP 污染，经分析其影响时间较短暂。采用施工现场定期清扫</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洒水，合理设置施工场地位置，施工散料运输车辆</w:t>
      </w:r>
      <w:r>
        <w:rPr>
          <w:rFonts w:hint="eastAsia" w:ascii="Times New Roman" w:hAnsi="Times New Roman" w:cs="Times New Roman"/>
          <w:b w:val="0"/>
          <w:bCs w:val="0"/>
          <w:sz w:val="24"/>
          <w:szCs w:val="24"/>
          <w:lang w:val="en-US" w:eastAsia="zh-CN" w:bidi="zh-CN"/>
        </w:rPr>
        <w:t>加盖篷布</w:t>
      </w:r>
      <w:r>
        <w:rPr>
          <w:rFonts w:hint="default" w:ascii="Times New Roman" w:hAnsi="Times New Roman" w:eastAsia="宋体" w:cs="Times New Roman"/>
          <w:b w:val="0"/>
          <w:bCs w:val="0"/>
          <w:sz w:val="24"/>
          <w:szCs w:val="24"/>
          <w:lang w:val="en-US" w:eastAsia="zh-CN" w:bidi="zh-CN"/>
        </w:rPr>
        <w:t>，料场远离居民点等措施，可以有效减轻 TSP 污染影响程度。</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（2）运营期</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通过类比预测分析，公路营运期汽车排放尾气对公路沿线区域敏感点不产生 NOx</w:t>
      </w:r>
      <w:r>
        <w:rPr>
          <w:rFonts w:hint="eastAsia" w:ascii="Times New Roman" w:hAnsi="Times New Roman" w:cs="Times New Roman"/>
          <w:b w:val="0"/>
          <w:bCs w:val="0"/>
          <w:sz w:val="24"/>
          <w:szCs w:val="24"/>
          <w:lang w:val="en-US" w:eastAsia="zh-CN" w:bidi="zh-CN"/>
        </w:rPr>
        <w:t>、</w:t>
      </w:r>
      <w:r>
        <w:rPr>
          <w:rFonts w:hint="default" w:ascii="Times New Roman" w:hAnsi="Times New Roman" w:eastAsia="宋体" w:cs="Times New Roman"/>
          <w:b w:val="0"/>
          <w:bCs w:val="0"/>
          <w:sz w:val="24"/>
          <w:szCs w:val="24"/>
          <w:lang w:val="en-US" w:eastAsia="zh-CN" w:bidi="zh-CN"/>
        </w:rPr>
        <w:t>TSP 和 CO 超标污染影响，因此本项目建成对项目所在地环境空气污染小。</w:t>
      </w:r>
    </w:p>
    <w:p>
      <w:pPr>
        <w:pStyle w:val="4"/>
        <w:bidi w:val="0"/>
        <w:rPr>
          <w:rFonts w:hint="default"/>
          <w:lang w:val="en-US" w:eastAsia="zh-CN"/>
        </w:rPr>
      </w:pPr>
      <w:bookmarkStart w:id="195" w:name="_bookmark57"/>
      <w:bookmarkEnd w:id="195"/>
      <w:bookmarkStart w:id="196" w:name="_bookmark57"/>
      <w:bookmarkEnd w:id="196"/>
      <w:bookmarkStart w:id="197" w:name="9.7 固体废弃物"/>
      <w:bookmarkEnd w:id="197"/>
      <w:bookmarkStart w:id="198" w:name="_Toc8794"/>
      <w:r>
        <w:rPr>
          <w:rFonts w:hint="default"/>
          <w:lang w:val="en-US" w:eastAsia="zh-CN"/>
        </w:rPr>
        <w:t>9.7.固体废弃物</w:t>
      </w:r>
      <w:bookmarkEnd w:id="198"/>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（1）施工期固体废弃物主要废弃土石方</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建筑垃圾和生活垃圾。废弃土石方均运至指定的弃渣堆放场进行堆放；建筑垃圾分类回收，可利用部分外售废品收购商，其余部分运至指定弃渣堆放场；生活垃圾通过专人统一收集后交由</w:t>
      </w:r>
      <w:r>
        <w:rPr>
          <w:rFonts w:hint="eastAsia" w:ascii="Times New Roman" w:hAnsi="Times New Roman" w:cs="Times New Roman"/>
          <w:b w:val="0"/>
          <w:bCs w:val="0"/>
          <w:sz w:val="24"/>
          <w:szCs w:val="24"/>
          <w:lang w:val="en-US" w:eastAsia="zh-CN" w:bidi="zh-CN"/>
        </w:rPr>
        <w:t>当地</w:t>
      </w:r>
      <w:r>
        <w:rPr>
          <w:rFonts w:hint="default" w:ascii="Times New Roman" w:hAnsi="Times New Roman" w:cs="Times New Roman"/>
          <w:b w:val="0"/>
          <w:bCs w:val="0"/>
          <w:sz w:val="24"/>
          <w:szCs w:val="24"/>
          <w:lang w:val="en-US" w:eastAsia="zh-CN" w:bidi="zh-CN"/>
        </w:rPr>
        <w:t>部门处置。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（2）营运期针对道路沿线产生的生活垃圾，</w:t>
      </w:r>
      <w:r>
        <w:rPr>
          <w:rFonts w:hint="default" w:ascii="Times New Roman" w:hAnsi="Times New Roman" w:cs="Times New Roman"/>
          <w:lang w:val="zh-CN" w:eastAsia="zh-CN"/>
        </w:rPr>
        <w:t>按主体设计要求设置垃圾桶收集</w:t>
      </w:r>
      <w:r>
        <w:rPr>
          <w:rFonts w:hint="eastAsia" w:ascii="Times New Roman" w:hAnsi="Times New Roman" w:cs="Times New Roman"/>
          <w:lang w:val="zh-CN" w:eastAsia="zh-CN"/>
        </w:rPr>
        <w:t>、</w:t>
      </w:r>
      <w:r>
        <w:rPr>
          <w:rFonts w:hint="default" w:ascii="Times New Roman" w:hAnsi="Times New Roman" w:cs="Times New Roman"/>
          <w:lang w:val="zh-CN" w:eastAsia="zh-CN"/>
        </w:rPr>
        <w:t>加强运营期环卫清扫工作，生活垃圾收集后由当地环卫部门清运处置，不会造成二次污染对当地环境产生不利影响。</w:t>
      </w:r>
    </w:p>
    <w:p>
      <w:pPr>
        <w:pStyle w:val="4"/>
        <w:bidi w:val="0"/>
        <w:rPr>
          <w:rFonts w:hint="default"/>
          <w:lang w:val="en-US" w:eastAsia="zh-CN"/>
        </w:rPr>
      </w:pPr>
      <w:bookmarkStart w:id="199" w:name="9.8 环境风险"/>
      <w:bookmarkEnd w:id="199"/>
      <w:bookmarkStart w:id="200" w:name="_bookmark58"/>
      <w:bookmarkEnd w:id="200"/>
      <w:bookmarkStart w:id="201" w:name="_bookmark58"/>
      <w:bookmarkEnd w:id="201"/>
      <w:bookmarkStart w:id="202" w:name="_Toc26616"/>
      <w:r>
        <w:rPr>
          <w:rFonts w:hint="default"/>
          <w:lang w:val="en-US" w:eastAsia="zh-CN"/>
        </w:rPr>
        <w:t>9.8.环境风险</w:t>
      </w:r>
      <w:bookmarkEnd w:id="20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本项目营运期主要环境风险为运输石油</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化肥农药</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危险化学品等危险货物的车辆在跨越渠江</w:t>
      </w:r>
      <w:r>
        <w:rPr>
          <w:rFonts w:hint="eastAsia" w:ascii="Times New Roman" w:hAnsi="Times New Roman" w:cs="Times New Roman"/>
          <w:sz w:val="24"/>
          <w:szCs w:val="24"/>
          <w:lang w:val="en-US" w:eastAsia="zh-CN"/>
        </w:rPr>
        <w:t>一级支流知县坝河、二级</w:t>
      </w:r>
      <w:r>
        <w:rPr>
          <w:rFonts w:hint="default" w:ascii="Times New Roman" w:hAnsi="Times New Roman" w:cs="Times New Roman"/>
          <w:sz w:val="24"/>
          <w:szCs w:val="24"/>
          <w:lang w:val="en-US" w:eastAsia="zh-CN"/>
        </w:rPr>
        <w:t>支流</w:t>
      </w:r>
      <w:r>
        <w:rPr>
          <w:rFonts w:hint="eastAsia" w:ascii="Times New Roman" w:hAnsi="Times New Roman" w:cs="Times New Roman"/>
          <w:sz w:val="24"/>
          <w:szCs w:val="24"/>
          <w:lang w:val="en-US" w:eastAsia="zh-CN"/>
        </w:rPr>
        <w:t>四合溪</w:t>
      </w:r>
      <w:r>
        <w:rPr>
          <w:rFonts w:hint="default" w:ascii="Times New Roman" w:hAnsi="Times New Roman" w:cs="Times New Roman"/>
          <w:b w:val="0"/>
          <w:bCs w:val="0"/>
          <w:sz w:val="24"/>
          <w:szCs w:val="24"/>
          <w:lang w:val="en-US" w:eastAsia="zh-CN" w:bidi="zh-CN"/>
        </w:rPr>
        <w:t>路段发生事故，导致污染物泄漏后对区域地表水体的污染影响。根据预测可知，项目营运期敏感路段发生危险货物交通事故导致污染物泄露的风险很小。应在公路建设及运营管理过程中严格按照有关规范及标准的要求，严格采取相应的防范措施，搞好安全配套设施的建设，危险品运输车辆按有关行业或国家标准</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规范及条例的要求进行严格管理，加强对运输过程中的监控，认真落实环境风险防范措施，结合环评报告中提出的预防</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监督和管理措施，本项目风险防范措施可靠有效。从环境风险角度分析，本项目建设带来的环境风险是</w:t>
      </w:r>
      <w:r>
        <w:rPr>
          <w:rFonts w:hint="eastAsia" w:ascii="Times New Roman" w:hAnsi="Times New Roman" w:cs="Times New Roman"/>
          <w:b w:val="0"/>
          <w:bCs w:val="0"/>
          <w:sz w:val="24"/>
          <w:szCs w:val="24"/>
          <w:lang w:val="en-US" w:eastAsia="zh-CN" w:bidi="zh-CN"/>
        </w:rPr>
        <w:t>可以</w:t>
      </w:r>
      <w:r>
        <w:rPr>
          <w:rFonts w:hint="default" w:ascii="Times New Roman" w:hAnsi="Times New Roman" w:cs="Times New Roman"/>
          <w:b w:val="0"/>
          <w:bCs w:val="0"/>
          <w:sz w:val="24"/>
          <w:szCs w:val="24"/>
          <w:lang w:val="en-US" w:eastAsia="zh-CN" w:bidi="zh-CN"/>
        </w:rPr>
        <w:t>接受的。</w:t>
      </w:r>
    </w:p>
    <w:p>
      <w:pPr>
        <w:pStyle w:val="4"/>
        <w:bidi w:val="0"/>
        <w:rPr>
          <w:rFonts w:hint="default"/>
          <w:lang w:val="en-US" w:eastAsia="zh-CN"/>
        </w:rPr>
      </w:pPr>
      <w:bookmarkStart w:id="203" w:name="9.9 环保投资"/>
      <w:bookmarkEnd w:id="203"/>
      <w:bookmarkStart w:id="204" w:name="_bookmark59"/>
      <w:bookmarkEnd w:id="204"/>
      <w:bookmarkStart w:id="205" w:name="_bookmark59"/>
      <w:bookmarkEnd w:id="205"/>
      <w:bookmarkStart w:id="206" w:name="_Toc17216"/>
      <w:r>
        <w:rPr>
          <w:rFonts w:hint="default"/>
          <w:lang w:val="en-US" w:eastAsia="zh-CN"/>
        </w:rPr>
        <w:t>9.9.环保投资</w:t>
      </w:r>
      <w:bookmarkEnd w:id="206"/>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本工程环境保护投资总计127.7万元，环境保护投资占工程总投资（16740万元）的 0.76%。</w:t>
      </w:r>
    </w:p>
    <w:p>
      <w:pPr>
        <w:pStyle w:val="4"/>
        <w:bidi w:val="0"/>
        <w:rPr>
          <w:rFonts w:hint="default"/>
          <w:lang w:val="en-US" w:eastAsia="zh-CN"/>
        </w:rPr>
      </w:pPr>
      <w:bookmarkStart w:id="207" w:name="_bookmark60"/>
      <w:bookmarkEnd w:id="207"/>
      <w:bookmarkStart w:id="208" w:name="9.10 环境管理与环境监测"/>
      <w:bookmarkEnd w:id="208"/>
      <w:bookmarkStart w:id="209" w:name="_bookmark60"/>
      <w:bookmarkEnd w:id="209"/>
      <w:bookmarkStart w:id="210" w:name="_Toc12911"/>
      <w:r>
        <w:rPr>
          <w:rFonts w:hint="default"/>
          <w:lang w:val="en-US" w:eastAsia="zh-CN"/>
        </w:rPr>
        <w:t>9.10.环境管理与环境监测</w:t>
      </w:r>
      <w:bookmarkEnd w:id="210"/>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本项目对环境的影响主要表现在施工期，工程建设单位应加强施工期的环境管理工作，加强施工队伍的环境保护教育，严格管理，文明施工，必须将水环境保护措施一一落实；同时，本项目建设对沿线声环境将产生一定不利影响，需要逐一落实噪声污染防治</w:t>
      </w:r>
      <w:r>
        <w:rPr>
          <w:rFonts w:hint="eastAsia" w:ascii="Times New Roman" w:hAnsi="Times New Roman" w:cs="Times New Roman"/>
          <w:b w:val="0"/>
          <w:bCs w:val="0"/>
          <w:sz w:val="24"/>
          <w:szCs w:val="24"/>
          <w:lang w:val="en-US" w:eastAsia="zh-CN" w:bidi="zh-CN"/>
        </w:rPr>
        <w:t>措施</w:t>
      </w:r>
      <w:r>
        <w:rPr>
          <w:rFonts w:hint="default" w:ascii="Times New Roman" w:hAnsi="Times New Roman" w:cs="Times New Roman"/>
          <w:b w:val="0"/>
          <w:bCs w:val="0"/>
          <w:sz w:val="24"/>
          <w:szCs w:val="24"/>
          <w:lang w:val="en-US" w:eastAsia="zh-CN" w:bidi="zh-CN"/>
        </w:rPr>
        <w:t>，以降低可能发生的噪声投诉等问题工程承包商在</w:t>
      </w:r>
      <w:r>
        <w:rPr>
          <w:rFonts w:hint="eastAsia" w:ascii="Times New Roman" w:hAnsi="Times New Roman" w:cs="Times New Roman"/>
          <w:b w:val="0"/>
          <w:bCs w:val="0"/>
          <w:sz w:val="24"/>
          <w:szCs w:val="24"/>
          <w:lang w:val="en-US" w:eastAsia="zh-CN" w:bidi="zh-CN"/>
        </w:rPr>
        <w:t>签订工程</w:t>
      </w:r>
      <w:r>
        <w:rPr>
          <w:rFonts w:hint="default" w:ascii="Times New Roman" w:hAnsi="Times New Roman" w:cs="Times New Roman"/>
          <w:b w:val="0"/>
          <w:bCs w:val="0"/>
          <w:sz w:val="24"/>
          <w:szCs w:val="24"/>
          <w:lang w:val="en-US" w:eastAsia="zh-CN" w:bidi="zh-CN"/>
        </w:rPr>
        <w:t>承接合同中应有明确的条款，对施工期的污染防治措施的予以承诺工程监理单位应根据本项目的环境影响报告书及其批复文件</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工程设计文件</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工程施工合同及招投标文件</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工程监理合同及招标文件等编制环境监理方案， 并严格按照制定的环境监理方案实施监理工作。项目建设过程中要加强施工期的环境监测工作，落实定期和不定期的环境监测计划。</w:t>
      </w:r>
    </w:p>
    <w:p>
      <w:pPr>
        <w:pStyle w:val="4"/>
        <w:bidi w:val="0"/>
        <w:rPr>
          <w:rFonts w:hint="default"/>
          <w:lang w:val="en-US" w:eastAsia="zh-CN"/>
        </w:rPr>
      </w:pPr>
      <w:bookmarkStart w:id="211" w:name="9.11 环境影响评价结论"/>
      <w:bookmarkEnd w:id="211"/>
      <w:bookmarkStart w:id="212" w:name="_bookmark61"/>
      <w:bookmarkEnd w:id="212"/>
      <w:bookmarkStart w:id="213" w:name="_Toc4474"/>
      <w:r>
        <w:rPr>
          <w:rFonts w:hint="default"/>
          <w:lang w:val="en-US" w:eastAsia="zh-CN"/>
        </w:rPr>
        <w:t>9.11 公众参与</w:t>
      </w:r>
      <w:bookmarkEnd w:id="213"/>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报告书的编制过程中，建设单位按照《环境影响评价公众参与办法》（部令第4号）开展了公众参与。</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2021年11月26日，建设单位通过环境影响评价信息公示平台网站进行了项目第一次信息公示。202</w:t>
      </w:r>
      <w:r>
        <w:rPr>
          <w:rFonts w:hint="eastAsia" w:ascii="Times New Roman" w:hAnsi="Times New Roman" w:cs="Times New Roman"/>
          <w:b w:val="0"/>
          <w:bCs w:val="0"/>
          <w:sz w:val="24"/>
          <w:szCs w:val="24"/>
          <w:lang w:val="en-US" w:eastAsia="zh-CN" w:bidi="zh-CN"/>
        </w:rPr>
        <w:t>2</w:t>
      </w:r>
      <w:r>
        <w:rPr>
          <w:rFonts w:hint="default" w:ascii="Times New Roman" w:hAnsi="Times New Roman" w:cs="Times New Roman"/>
          <w:b w:val="0"/>
          <w:bCs w:val="0"/>
          <w:sz w:val="24"/>
          <w:szCs w:val="24"/>
          <w:lang w:val="en-US" w:eastAsia="zh-CN" w:bidi="zh-CN"/>
        </w:rPr>
        <w:t>年2月</w:t>
      </w:r>
      <w:r>
        <w:rPr>
          <w:rFonts w:hint="eastAsia" w:ascii="Times New Roman" w:hAnsi="Times New Roman" w:cs="Times New Roman"/>
          <w:b w:val="0"/>
          <w:bCs w:val="0"/>
          <w:sz w:val="24"/>
          <w:szCs w:val="24"/>
          <w:lang w:val="en-US" w:eastAsia="zh-CN" w:bidi="zh-CN"/>
        </w:rPr>
        <w:t>11</w:t>
      </w:r>
      <w:r>
        <w:rPr>
          <w:rFonts w:hint="default" w:ascii="Times New Roman" w:hAnsi="Times New Roman" w:cs="Times New Roman"/>
          <w:b w:val="0"/>
          <w:bCs w:val="0"/>
          <w:sz w:val="24"/>
          <w:szCs w:val="24"/>
          <w:lang w:val="en-US" w:eastAsia="zh-CN" w:bidi="zh-CN"/>
        </w:rPr>
        <w:t>日在</w:t>
      </w:r>
      <w:r>
        <w:rPr>
          <w:rFonts w:hint="eastAsia" w:ascii="Times New Roman" w:hAnsi="Times New Roman" w:cs="Times New Roman"/>
          <w:b w:val="0"/>
          <w:bCs w:val="0"/>
          <w:sz w:val="24"/>
          <w:szCs w:val="24"/>
          <w:lang w:val="en-US" w:eastAsia="zh-CN" w:bidi="zh-CN"/>
        </w:rPr>
        <w:t>渠县网</w:t>
      </w:r>
      <w:r>
        <w:rPr>
          <w:rFonts w:hint="default" w:ascii="Times New Roman" w:hAnsi="Times New Roman" w:cs="Times New Roman"/>
          <w:b w:val="0"/>
          <w:bCs w:val="0"/>
          <w:sz w:val="24"/>
          <w:szCs w:val="24"/>
          <w:lang w:val="en-US" w:eastAsia="zh-CN" w:bidi="zh-CN"/>
        </w:rPr>
        <w:t>进行了征求意见稿信息公示，并同步在达州市本地报刊《达州日报》刊登了公示信息，在涉及的环境敏感点张贴了告示。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信息公示期间和公示后规定的期限内，建设单位</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环评单位均未收到相关团体单位和社会公众对本项目建设关于环境方面的意见和建议。</w:t>
      </w:r>
    </w:p>
    <w:p>
      <w:pPr>
        <w:pStyle w:val="4"/>
        <w:bidi w:val="0"/>
        <w:rPr>
          <w:rFonts w:hint="default"/>
          <w:lang w:val="en-US" w:eastAsia="zh-CN"/>
        </w:rPr>
      </w:pPr>
      <w:bookmarkStart w:id="214" w:name="_Toc8067"/>
      <w:r>
        <w:rPr>
          <w:rFonts w:hint="default"/>
          <w:lang w:val="en-US" w:eastAsia="zh-CN"/>
        </w:rPr>
        <w:t>9.12 环境影响评价结论</w:t>
      </w:r>
      <w:bookmarkEnd w:id="214"/>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渠县临巴镇绕场镇改线工程符合相关法律法规，选址</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选线符合环保要求，项目建设对改善当地的生活环境，加速当地经济发展，促进和谐社会的构造，加快城镇建设的步伐，是十分有益的。项目施工期对环境产生的影响主要表现为施工活动对环境空气</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声环境和生态环境的破坏，运营期主要为交通噪声和汽车尾气的污染。建设单位只要完全落实本报告表提出的环境保护措施，项目建设所产生的不利影响可以得到减缓或消除。故本次评价认为，拟建项目从环境保护角度而言是可行的。</w:t>
      </w:r>
    </w:p>
    <w:p>
      <w:pPr>
        <w:pStyle w:val="4"/>
        <w:bidi w:val="0"/>
        <w:rPr>
          <w:rFonts w:hint="default"/>
          <w:lang w:val="en-US" w:eastAsia="zh-CN"/>
        </w:rPr>
      </w:pPr>
      <w:bookmarkStart w:id="215" w:name="_bookmark62"/>
      <w:bookmarkEnd w:id="215"/>
      <w:bookmarkStart w:id="216" w:name="_bookmark62"/>
      <w:bookmarkEnd w:id="216"/>
      <w:bookmarkStart w:id="217" w:name="9.11 建议"/>
      <w:bookmarkEnd w:id="217"/>
      <w:bookmarkStart w:id="218" w:name="_Toc8475"/>
      <w:r>
        <w:rPr>
          <w:rFonts w:hint="default"/>
          <w:lang w:val="en-US" w:eastAsia="zh-CN"/>
        </w:rPr>
        <w:t>9.13建议</w:t>
      </w:r>
      <w:bookmarkEnd w:id="218"/>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建议政府合理规划公路两侧用地，在2类区域达标范围内不宜新建学校</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医院</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集中居民区等对噪声敏感点的建筑。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建议建设单位营运期对全线声环境敏感点进行跟踪监测，一旦出现因本项目造成敏感点声环境治理超标的情况，应积极采取声屏障等噪声治理措施减缓对敏感点的影响。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项目投入运营后，建设单位应做好公路路面以及声屏障</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污水处理设施等环保设施的保养和维护，确保各项环保措施正常运营。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建议在施工招标阶段就明确各施工单位的环境保护责任，工程建设过程中的污染防治措施必须与建设项目同时设计</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同时施工</w:t>
      </w:r>
      <w:r>
        <w:rPr>
          <w:rFonts w:hint="eastAsia" w:ascii="Times New Roman" w:hAnsi="Times New Roman" w:cs="Times New Roman"/>
          <w:b w:val="0"/>
          <w:bCs w:val="0"/>
          <w:sz w:val="24"/>
          <w:szCs w:val="24"/>
          <w:lang w:val="en-US" w:eastAsia="zh-CN" w:bidi="zh-CN"/>
        </w:rPr>
        <w:t>、</w:t>
      </w:r>
      <w:r>
        <w:rPr>
          <w:rFonts w:hint="default" w:ascii="Times New Roman" w:hAnsi="Times New Roman" w:cs="Times New Roman"/>
          <w:b w:val="0"/>
          <w:bCs w:val="0"/>
          <w:sz w:val="24"/>
          <w:szCs w:val="24"/>
          <w:lang w:val="en-US" w:eastAsia="zh-CN" w:bidi="zh-CN"/>
        </w:rPr>
        <w:t>同时投入运行。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bidi="zh-CN"/>
        </w:rPr>
      </w:pPr>
      <w:r>
        <w:rPr>
          <w:rFonts w:hint="default" w:ascii="Times New Roman" w:hAnsi="Times New Roman" w:cs="Times New Roman"/>
          <w:b w:val="0"/>
          <w:bCs w:val="0"/>
          <w:sz w:val="24"/>
          <w:szCs w:val="24"/>
          <w:lang w:val="en-US" w:eastAsia="zh-CN" w:bidi="zh-CN"/>
        </w:rPr>
        <w:t>项目施工过程中，建设单位应加强对施工单位及现场工作人员的环境法规宣传，提高民众的环保意识，使环境保护真正成为建设项目施工中的自觉行为和实现人类与环境协调发展的内在需要。</w:t>
      </w:r>
    </w:p>
    <w:p>
      <w:pPr>
        <w:pStyle w:val="2"/>
        <w:ind w:left="1240"/>
      </w:pPr>
    </w:p>
    <w:p>
      <w:pPr>
        <w:pStyle w:val="6"/>
        <w:outlineLvl w:val="9"/>
        <w:rPr>
          <w:rFonts w:hint="eastAsia"/>
          <w:lang w:val="en-US" w:eastAsia="zh-CN"/>
        </w:rPr>
      </w:pPr>
    </w:p>
    <w:sectPr>
      <w:pgSz w:w="11911" w:h="16849"/>
      <w:pgMar w:top="1378" w:right="1179" w:bottom="1202" w:left="1219" w:header="590" w:footer="1230" w:gutter="0"/>
      <w:pgNumType w:fmt="decimal"/>
      <w:cols w:space="0" w:num="1"/>
      <w:rtlGutter w:val="0"/>
      <w:docGrid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BC1B69"/>
    <w:multiLevelType w:val="singleLevel"/>
    <w:tmpl w:val="B9BC1B69"/>
    <w:lvl w:ilvl="0" w:tentative="0">
      <w:start w:val="1"/>
      <w:numFmt w:val="decimal"/>
      <w:suff w:val="nothing"/>
      <w:lvlText w:val="%1、"/>
      <w:lvlJc w:val="left"/>
    </w:lvl>
  </w:abstractNum>
  <w:abstractNum w:abstractNumId="1">
    <w:nsid w:val="ED00B4C1"/>
    <w:multiLevelType w:val="singleLevel"/>
    <w:tmpl w:val="ED00B4C1"/>
    <w:lvl w:ilvl="0" w:tentative="0">
      <w:start w:val="1"/>
      <w:numFmt w:val="decimal"/>
      <w:suff w:val="nothing"/>
      <w:lvlText w:val="表3-%1  "/>
      <w:lvlJc w:val="left"/>
      <w:pPr>
        <w:tabs>
          <w:tab w:val="left" w:pos="0"/>
        </w:tabs>
      </w:pPr>
      <w:rPr>
        <w:rFonts w:hint="default" w:ascii="Times New Roman" w:hAnsi="Times New Roman" w:eastAsia="黑体" w:cs="Times New Roman"/>
        <w:sz w:val="21"/>
        <w:szCs w:val="21"/>
      </w:rPr>
    </w:lvl>
  </w:abstractNum>
  <w:abstractNum w:abstractNumId="2">
    <w:nsid w:val="F1D6064D"/>
    <w:multiLevelType w:val="singleLevel"/>
    <w:tmpl w:val="F1D6064D"/>
    <w:lvl w:ilvl="0" w:tentative="0">
      <w:start w:val="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2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35B77"/>
    <w:rsid w:val="007C717F"/>
    <w:rsid w:val="007E2CA6"/>
    <w:rsid w:val="00A8188E"/>
    <w:rsid w:val="00A973C9"/>
    <w:rsid w:val="00B91BB2"/>
    <w:rsid w:val="00CC7ECA"/>
    <w:rsid w:val="017E0CD4"/>
    <w:rsid w:val="019127B6"/>
    <w:rsid w:val="01CC6B10"/>
    <w:rsid w:val="02192390"/>
    <w:rsid w:val="02457988"/>
    <w:rsid w:val="028B18FB"/>
    <w:rsid w:val="02E557EE"/>
    <w:rsid w:val="02FA559D"/>
    <w:rsid w:val="02FF7BF3"/>
    <w:rsid w:val="0337726E"/>
    <w:rsid w:val="037C1244"/>
    <w:rsid w:val="03B22E70"/>
    <w:rsid w:val="04014AA1"/>
    <w:rsid w:val="05476B64"/>
    <w:rsid w:val="054C5E01"/>
    <w:rsid w:val="055C08A4"/>
    <w:rsid w:val="056901E0"/>
    <w:rsid w:val="05D3768E"/>
    <w:rsid w:val="0603259C"/>
    <w:rsid w:val="064005C6"/>
    <w:rsid w:val="06A20FC1"/>
    <w:rsid w:val="06AC1E40"/>
    <w:rsid w:val="06C702E0"/>
    <w:rsid w:val="06F2311C"/>
    <w:rsid w:val="072D3A5C"/>
    <w:rsid w:val="076369A2"/>
    <w:rsid w:val="07696B7C"/>
    <w:rsid w:val="07A64D58"/>
    <w:rsid w:val="07DA5592"/>
    <w:rsid w:val="07E712B2"/>
    <w:rsid w:val="07FC0730"/>
    <w:rsid w:val="08DF1BC3"/>
    <w:rsid w:val="09206ED5"/>
    <w:rsid w:val="094B5940"/>
    <w:rsid w:val="099807CE"/>
    <w:rsid w:val="09CA0F5B"/>
    <w:rsid w:val="09CB082F"/>
    <w:rsid w:val="09DA1AB2"/>
    <w:rsid w:val="09F36E1A"/>
    <w:rsid w:val="0A154CF6"/>
    <w:rsid w:val="0A20096D"/>
    <w:rsid w:val="0ADE034F"/>
    <w:rsid w:val="0AF10D60"/>
    <w:rsid w:val="0B351A0B"/>
    <w:rsid w:val="0BB76ADB"/>
    <w:rsid w:val="0BC23F01"/>
    <w:rsid w:val="0BE02071"/>
    <w:rsid w:val="0BF173B6"/>
    <w:rsid w:val="0C777223"/>
    <w:rsid w:val="0C832E91"/>
    <w:rsid w:val="0CB67EEF"/>
    <w:rsid w:val="0DA27AF9"/>
    <w:rsid w:val="0E4451A9"/>
    <w:rsid w:val="0E663581"/>
    <w:rsid w:val="0E793F75"/>
    <w:rsid w:val="0E8D6BD9"/>
    <w:rsid w:val="0ED62150"/>
    <w:rsid w:val="0F0B5660"/>
    <w:rsid w:val="0F786507"/>
    <w:rsid w:val="0FC326AC"/>
    <w:rsid w:val="0FDE63C0"/>
    <w:rsid w:val="0FE8213B"/>
    <w:rsid w:val="103A3E9E"/>
    <w:rsid w:val="10417A9D"/>
    <w:rsid w:val="10710188"/>
    <w:rsid w:val="10835D82"/>
    <w:rsid w:val="10B5220C"/>
    <w:rsid w:val="10F2353F"/>
    <w:rsid w:val="11132B1B"/>
    <w:rsid w:val="11CE61BF"/>
    <w:rsid w:val="11DF19DC"/>
    <w:rsid w:val="11E626AA"/>
    <w:rsid w:val="120E2259"/>
    <w:rsid w:val="13154F04"/>
    <w:rsid w:val="13224198"/>
    <w:rsid w:val="13806FBF"/>
    <w:rsid w:val="138B47D6"/>
    <w:rsid w:val="13B8056B"/>
    <w:rsid w:val="13F13870"/>
    <w:rsid w:val="13FF413C"/>
    <w:rsid w:val="14292D22"/>
    <w:rsid w:val="14964F57"/>
    <w:rsid w:val="14C4222A"/>
    <w:rsid w:val="14F35F8A"/>
    <w:rsid w:val="15177C07"/>
    <w:rsid w:val="15910B7E"/>
    <w:rsid w:val="15BB5BFB"/>
    <w:rsid w:val="16187FCD"/>
    <w:rsid w:val="164B664E"/>
    <w:rsid w:val="1697137B"/>
    <w:rsid w:val="16AF75E4"/>
    <w:rsid w:val="16C034D1"/>
    <w:rsid w:val="17AF2F2B"/>
    <w:rsid w:val="17B03DC9"/>
    <w:rsid w:val="17D71AF0"/>
    <w:rsid w:val="17EB511E"/>
    <w:rsid w:val="17EC7768"/>
    <w:rsid w:val="18A83470"/>
    <w:rsid w:val="18B36C44"/>
    <w:rsid w:val="18D53478"/>
    <w:rsid w:val="190B4ED0"/>
    <w:rsid w:val="19A35013"/>
    <w:rsid w:val="19AC06FF"/>
    <w:rsid w:val="19D21766"/>
    <w:rsid w:val="1A50725A"/>
    <w:rsid w:val="1A6933F8"/>
    <w:rsid w:val="1A8631CA"/>
    <w:rsid w:val="1B0F7BBE"/>
    <w:rsid w:val="1B1E6CC0"/>
    <w:rsid w:val="1B372A8A"/>
    <w:rsid w:val="1B9B4505"/>
    <w:rsid w:val="1BBF7E22"/>
    <w:rsid w:val="1C2F4C4D"/>
    <w:rsid w:val="1C5C3D7E"/>
    <w:rsid w:val="1C885B26"/>
    <w:rsid w:val="1C8F0DDE"/>
    <w:rsid w:val="1D2C40BC"/>
    <w:rsid w:val="1D65316F"/>
    <w:rsid w:val="1D734282"/>
    <w:rsid w:val="1D774D3D"/>
    <w:rsid w:val="1D997525"/>
    <w:rsid w:val="1DC36632"/>
    <w:rsid w:val="1DD13586"/>
    <w:rsid w:val="1E1F648C"/>
    <w:rsid w:val="1E205195"/>
    <w:rsid w:val="1E6363A7"/>
    <w:rsid w:val="1EC6748F"/>
    <w:rsid w:val="1EC75611"/>
    <w:rsid w:val="1EFB0CB8"/>
    <w:rsid w:val="1F2F7B95"/>
    <w:rsid w:val="1F4B1FA6"/>
    <w:rsid w:val="1FAA740D"/>
    <w:rsid w:val="203E1903"/>
    <w:rsid w:val="20E63688"/>
    <w:rsid w:val="20FB1091"/>
    <w:rsid w:val="21123A4F"/>
    <w:rsid w:val="211A6E9E"/>
    <w:rsid w:val="21653354"/>
    <w:rsid w:val="217B0D8B"/>
    <w:rsid w:val="21E4696A"/>
    <w:rsid w:val="21F75FDF"/>
    <w:rsid w:val="228C2DF9"/>
    <w:rsid w:val="22B660C8"/>
    <w:rsid w:val="23152DEF"/>
    <w:rsid w:val="23F23BA4"/>
    <w:rsid w:val="242D7AB6"/>
    <w:rsid w:val="2465128F"/>
    <w:rsid w:val="247C0D6C"/>
    <w:rsid w:val="24E149BF"/>
    <w:rsid w:val="24F63240"/>
    <w:rsid w:val="2564084E"/>
    <w:rsid w:val="25954FF9"/>
    <w:rsid w:val="25BF2A26"/>
    <w:rsid w:val="25E3306A"/>
    <w:rsid w:val="26A52E60"/>
    <w:rsid w:val="26B53104"/>
    <w:rsid w:val="26BD31A4"/>
    <w:rsid w:val="26E609BE"/>
    <w:rsid w:val="27076EF2"/>
    <w:rsid w:val="273D3EF3"/>
    <w:rsid w:val="274D48FE"/>
    <w:rsid w:val="277773B2"/>
    <w:rsid w:val="278953D0"/>
    <w:rsid w:val="27896E11"/>
    <w:rsid w:val="27AC275E"/>
    <w:rsid w:val="27B02758"/>
    <w:rsid w:val="27E03E0C"/>
    <w:rsid w:val="281713B7"/>
    <w:rsid w:val="285756B2"/>
    <w:rsid w:val="2858583D"/>
    <w:rsid w:val="289079CF"/>
    <w:rsid w:val="28912678"/>
    <w:rsid w:val="2966734F"/>
    <w:rsid w:val="29CC1CEF"/>
    <w:rsid w:val="29FD282F"/>
    <w:rsid w:val="2A565288"/>
    <w:rsid w:val="2A9C2048"/>
    <w:rsid w:val="2A9D5EEE"/>
    <w:rsid w:val="2ABD7E2E"/>
    <w:rsid w:val="2ACA4A59"/>
    <w:rsid w:val="2B433420"/>
    <w:rsid w:val="2B936FA7"/>
    <w:rsid w:val="2C022B17"/>
    <w:rsid w:val="2C34593D"/>
    <w:rsid w:val="2C624BCB"/>
    <w:rsid w:val="2CDE63C8"/>
    <w:rsid w:val="2CFD5AD2"/>
    <w:rsid w:val="2D255DE2"/>
    <w:rsid w:val="2D3E73E6"/>
    <w:rsid w:val="2D46629B"/>
    <w:rsid w:val="2D7339BD"/>
    <w:rsid w:val="2DAA0A10"/>
    <w:rsid w:val="2DAD6FAC"/>
    <w:rsid w:val="2E1C6F50"/>
    <w:rsid w:val="2E5F7323"/>
    <w:rsid w:val="2E836670"/>
    <w:rsid w:val="2E9F5C62"/>
    <w:rsid w:val="2ED0766D"/>
    <w:rsid w:val="2F150A5D"/>
    <w:rsid w:val="2F593D8E"/>
    <w:rsid w:val="2FE7589B"/>
    <w:rsid w:val="3016593F"/>
    <w:rsid w:val="30F469A9"/>
    <w:rsid w:val="31041D9D"/>
    <w:rsid w:val="3143009E"/>
    <w:rsid w:val="316D14DF"/>
    <w:rsid w:val="32235857"/>
    <w:rsid w:val="324C4927"/>
    <w:rsid w:val="32657105"/>
    <w:rsid w:val="32782EBD"/>
    <w:rsid w:val="32971FC2"/>
    <w:rsid w:val="32A31914"/>
    <w:rsid w:val="32E74268"/>
    <w:rsid w:val="33265020"/>
    <w:rsid w:val="33547755"/>
    <w:rsid w:val="339D31C2"/>
    <w:rsid w:val="33EA7980"/>
    <w:rsid w:val="35132F06"/>
    <w:rsid w:val="351849C1"/>
    <w:rsid w:val="352C429C"/>
    <w:rsid w:val="35984FFD"/>
    <w:rsid w:val="35C44117"/>
    <w:rsid w:val="35D56FBA"/>
    <w:rsid w:val="35D76B61"/>
    <w:rsid w:val="360F65FB"/>
    <w:rsid w:val="365E03D6"/>
    <w:rsid w:val="36C8570D"/>
    <w:rsid w:val="36EF1805"/>
    <w:rsid w:val="37267C1B"/>
    <w:rsid w:val="373E4474"/>
    <w:rsid w:val="37C4673A"/>
    <w:rsid w:val="37E27A1D"/>
    <w:rsid w:val="38012663"/>
    <w:rsid w:val="38126C76"/>
    <w:rsid w:val="381B49B3"/>
    <w:rsid w:val="382F57AE"/>
    <w:rsid w:val="3850554B"/>
    <w:rsid w:val="38912AC0"/>
    <w:rsid w:val="38C950C6"/>
    <w:rsid w:val="38CC7FAC"/>
    <w:rsid w:val="38FF67EE"/>
    <w:rsid w:val="396920C5"/>
    <w:rsid w:val="399F3254"/>
    <w:rsid w:val="39B05615"/>
    <w:rsid w:val="39F04B6C"/>
    <w:rsid w:val="3A1137C6"/>
    <w:rsid w:val="3AC86563"/>
    <w:rsid w:val="3AE578BD"/>
    <w:rsid w:val="3AEB4079"/>
    <w:rsid w:val="3B117412"/>
    <w:rsid w:val="3B310502"/>
    <w:rsid w:val="3B8F7140"/>
    <w:rsid w:val="3C3E243D"/>
    <w:rsid w:val="3C8938FC"/>
    <w:rsid w:val="3CE53229"/>
    <w:rsid w:val="3D062660"/>
    <w:rsid w:val="3D35401B"/>
    <w:rsid w:val="3E4D2B44"/>
    <w:rsid w:val="3E642A25"/>
    <w:rsid w:val="3E771430"/>
    <w:rsid w:val="3EC359E7"/>
    <w:rsid w:val="3ECD5D0B"/>
    <w:rsid w:val="3EE218A4"/>
    <w:rsid w:val="3F1C51BD"/>
    <w:rsid w:val="3F340649"/>
    <w:rsid w:val="3F753D18"/>
    <w:rsid w:val="3FBA0B4E"/>
    <w:rsid w:val="3FC27A03"/>
    <w:rsid w:val="3FC3065E"/>
    <w:rsid w:val="3FFF2A05"/>
    <w:rsid w:val="404458B5"/>
    <w:rsid w:val="4088417C"/>
    <w:rsid w:val="40B52ED5"/>
    <w:rsid w:val="414E0A69"/>
    <w:rsid w:val="418105AD"/>
    <w:rsid w:val="41AD023F"/>
    <w:rsid w:val="41AE3884"/>
    <w:rsid w:val="41B33AA7"/>
    <w:rsid w:val="420B1C37"/>
    <w:rsid w:val="42317A80"/>
    <w:rsid w:val="423B6DE7"/>
    <w:rsid w:val="425A405F"/>
    <w:rsid w:val="426C1EA8"/>
    <w:rsid w:val="42DF08CC"/>
    <w:rsid w:val="43966B09"/>
    <w:rsid w:val="43C7265E"/>
    <w:rsid w:val="43D5610B"/>
    <w:rsid w:val="43E27101"/>
    <w:rsid w:val="43E731C5"/>
    <w:rsid w:val="441260D8"/>
    <w:rsid w:val="444460BB"/>
    <w:rsid w:val="446575F4"/>
    <w:rsid w:val="44761817"/>
    <w:rsid w:val="44AB3DB2"/>
    <w:rsid w:val="451C04DF"/>
    <w:rsid w:val="452F255F"/>
    <w:rsid w:val="453B38F0"/>
    <w:rsid w:val="45462E84"/>
    <w:rsid w:val="454F4187"/>
    <w:rsid w:val="460A16B1"/>
    <w:rsid w:val="46144582"/>
    <w:rsid w:val="46183BB8"/>
    <w:rsid w:val="462A69C7"/>
    <w:rsid w:val="46502C68"/>
    <w:rsid w:val="46715CDF"/>
    <w:rsid w:val="467E27D7"/>
    <w:rsid w:val="468E3714"/>
    <w:rsid w:val="46C3010A"/>
    <w:rsid w:val="46C44060"/>
    <w:rsid w:val="46C824B1"/>
    <w:rsid w:val="47274300"/>
    <w:rsid w:val="477E4B57"/>
    <w:rsid w:val="4783216D"/>
    <w:rsid w:val="47A85730"/>
    <w:rsid w:val="47C85DD2"/>
    <w:rsid w:val="482671E3"/>
    <w:rsid w:val="485824EE"/>
    <w:rsid w:val="488803DB"/>
    <w:rsid w:val="48B049B1"/>
    <w:rsid w:val="48EB583E"/>
    <w:rsid w:val="49443A9A"/>
    <w:rsid w:val="4A510BBC"/>
    <w:rsid w:val="4A7933B4"/>
    <w:rsid w:val="4A971A42"/>
    <w:rsid w:val="4AC53613"/>
    <w:rsid w:val="4B7C248F"/>
    <w:rsid w:val="4B9B4ACD"/>
    <w:rsid w:val="4C286E40"/>
    <w:rsid w:val="4C2D4456"/>
    <w:rsid w:val="4C4C6A01"/>
    <w:rsid w:val="4C52257F"/>
    <w:rsid w:val="4C535461"/>
    <w:rsid w:val="4C714CB1"/>
    <w:rsid w:val="4C7E2F03"/>
    <w:rsid w:val="4C8A0316"/>
    <w:rsid w:val="4CB24DE4"/>
    <w:rsid w:val="4D4924CE"/>
    <w:rsid w:val="4D5B03AD"/>
    <w:rsid w:val="4D8C0196"/>
    <w:rsid w:val="4DDC210C"/>
    <w:rsid w:val="4E472EFD"/>
    <w:rsid w:val="4EBE1CDD"/>
    <w:rsid w:val="4ECD7302"/>
    <w:rsid w:val="4EF34B7E"/>
    <w:rsid w:val="4F2C389F"/>
    <w:rsid w:val="4F5C7FCF"/>
    <w:rsid w:val="4FBF0488"/>
    <w:rsid w:val="4FF9718C"/>
    <w:rsid w:val="50343564"/>
    <w:rsid w:val="50F81884"/>
    <w:rsid w:val="511D29D4"/>
    <w:rsid w:val="51505C0D"/>
    <w:rsid w:val="51676044"/>
    <w:rsid w:val="51B80EAD"/>
    <w:rsid w:val="51C15D6C"/>
    <w:rsid w:val="52286442"/>
    <w:rsid w:val="52A04F92"/>
    <w:rsid w:val="52C520D9"/>
    <w:rsid w:val="53484EB5"/>
    <w:rsid w:val="535F7B2F"/>
    <w:rsid w:val="54484523"/>
    <w:rsid w:val="54584E58"/>
    <w:rsid w:val="54B56512"/>
    <w:rsid w:val="55384597"/>
    <w:rsid w:val="55A82B70"/>
    <w:rsid w:val="55BF7F5D"/>
    <w:rsid w:val="55DD305C"/>
    <w:rsid w:val="56C56BAF"/>
    <w:rsid w:val="56FA0D87"/>
    <w:rsid w:val="57001855"/>
    <w:rsid w:val="571C14E8"/>
    <w:rsid w:val="57404DE5"/>
    <w:rsid w:val="576E5179"/>
    <w:rsid w:val="577F2840"/>
    <w:rsid w:val="58187F8A"/>
    <w:rsid w:val="5828096C"/>
    <w:rsid w:val="58280E96"/>
    <w:rsid w:val="588565F7"/>
    <w:rsid w:val="58922210"/>
    <w:rsid w:val="58937777"/>
    <w:rsid w:val="59207653"/>
    <w:rsid w:val="592752F6"/>
    <w:rsid w:val="59FA2EA9"/>
    <w:rsid w:val="5A900971"/>
    <w:rsid w:val="5AA620AD"/>
    <w:rsid w:val="5AC27BE5"/>
    <w:rsid w:val="5B0D39E9"/>
    <w:rsid w:val="5B2B0DF5"/>
    <w:rsid w:val="5BF46D3E"/>
    <w:rsid w:val="5CAB13E3"/>
    <w:rsid w:val="5CBD0AED"/>
    <w:rsid w:val="5CE7486F"/>
    <w:rsid w:val="5CF55B06"/>
    <w:rsid w:val="5CFA3EB4"/>
    <w:rsid w:val="5CFF72BE"/>
    <w:rsid w:val="5D1A5DA7"/>
    <w:rsid w:val="5D275EBF"/>
    <w:rsid w:val="5D2D2508"/>
    <w:rsid w:val="5D5264DD"/>
    <w:rsid w:val="5D82507C"/>
    <w:rsid w:val="5D83481E"/>
    <w:rsid w:val="5DBE5EA3"/>
    <w:rsid w:val="5DF52B57"/>
    <w:rsid w:val="5E824AD5"/>
    <w:rsid w:val="5EB24909"/>
    <w:rsid w:val="5F0D6433"/>
    <w:rsid w:val="5F223BC2"/>
    <w:rsid w:val="5F445AAB"/>
    <w:rsid w:val="5F62656A"/>
    <w:rsid w:val="5F650D0C"/>
    <w:rsid w:val="5FBC7B73"/>
    <w:rsid w:val="5FD11495"/>
    <w:rsid w:val="5FE44419"/>
    <w:rsid w:val="5FEC48FC"/>
    <w:rsid w:val="602D4944"/>
    <w:rsid w:val="603C745A"/>
    <w:rsid w:val="60995947"/>
    <w:rsid w:val="60C10B95"/>
    <w:rsid w:val="610E7551"/>
    <w:rsid w:val="612B37DB"/>
    <w:rsid w:val="612D5CF1"/>
    <w:rsid w:val="61BB521F"/>
    <w:rsid w:val="61C04C4F"/>
    <w:rsid w:val="61F161BC"/>
    <w:rsid w:val="622448D1"/>
    <w:rsid w:val="624F73B2"/>
    <w:rsid w:val="62720988"/>
    <w:rsid w:val="62787A4D"/>
    <w:rsid w:val="6347009B"/>
    <w:rsid w:val="63D97348"/>
    <w:rsid w:val="63E640DA"/>
    <w:rsid w:val="64540CC2"/>
    <w:rsid w:val="646B1B68"/>
    <w:rsid w:val="64C36D7E"/>
    <w:rsid w:val="64DB4F3F"/>
    <w:rsid w:val="65104DD0"/>
    <w:rsid w:val="656C3DE9"/>
    <w:rsid w:val="65B340E9"/>
    <w:rsid w:val="6630439C"/>
    <w:rsid w:val="663F6AC7"/>
    <w:rsid w:val="66476B75"/>
    <w:rsid w:val="66652341"/>
    <w:rsid w:val="66910EE1"/>
    <w:rsid w:val="66920E47"/>
    <w:rsid w:val="66B546CA"/>
    <w:rsid w:val="66CF4630"/>
    <w:rsid w:val="673B7920"/>
    <w:rsid w:val="67407898"/>
    <w:rsid w:val="678A67A9"/>
    <w:rsid w:val="679007DB"/>
    <w:rsid w:val="6796514D"/>
    <w:rsid w:val="679C3D60"/>
    <w:rsid w:val="67C41CBB"/>
    <w:rsid w:val="67E503F1"/>
    <w:rsid w:val="67E660D5"/>
    <w:rsid w:val="68FE7336"/>
    <w:rsid w:val="695E34B9"/>
    <w:rsid w:val="696264B2"/>
    <w:rsid w:val="69970018"/>
    <w:rsid w:val="69B31EAD"/>
    <w:rsid w:val="69E20360"/>
    <w:rsid w:val="6A545F3E"/>
    <w:rsid w:val="6A8B30C1"/>
    <w:rsid w:val="6A9843AE"/>
    <w:rsid w:val="6ACB597A"/>
    <w:rsid w:val="6AD914C2"/>
    <w:rsid w:val="6ADA7E16"/>
    <w:rsid w:val="6B225676"/>
    <w:rsid w:val="6B3C5F50"/>
    <w:rsid w:val="6B9D34D8"/>
    <w:rsid w:val="6C1A6264"/>
    <w:rsid w:val="6C4D54A9"/>
    <w:rsid w:val="6C6C72DD"/>
    <w:rsid w:val="6C811182"/>
    <w:rsid w:val="6C9C1458"/>
    <w:rsid w:val="6CBE3453"/>
    <w:rsid w:val="6D3744B9"/>
    <w:rsid w:val="6D531674"/>
    <w:rsid w:val="6D7221B9"/>
    <w:rsid w:val="6DB35D1A"/>
    <w:rsid w:val="6DCA0B54"/>
    <w:rsid w:val="6DFF4973"/>
    <w:rsid w:val="6EA047DB"/>
    <w:rsid w:val="6F3A4BDC"/>
    <w:rsid w:val="6F602AB2"/>
    <w:rsid w:val="6F6C4B52"/>
    <w:rsid w:val="6F704DD5"/>
    <w:rsid w:val="6F73214F"/>
    <w:rsid w:val="6FAF786B"/>
    <w:rsid w:val="70674B6B"/>
    <w:rsid w:val="70B037A9"/>
    <w:rsid w:val="70C341E3"/>
    <w:rsid w:val="70D74111"/>
    <w:rsid w:val="710F56DD"/>
    <w:rsid w:val="716B3369"/>
    <w:rsid w:val="71AB5C99"/>
    <w:rsid w:val="71D52386"/>
    <w:rsid w:val="72077373"/>
    <w:rsid w:val="7247477F"/>
    <w:rsid w:val="72691DDC"/>
    <w:rsid w:val="72694632"/>
    <w:rsid w:val="728E1843"/>
    <w:rsid w:val="72B73B47"/>
    <w:rsid w:val="72D80043"/>
    <w:rsid w:val="73124222"/>
    <w:rsid w:val="737C7606"/>
    <w:rsid w:val="738520BE"/>
    <w:rsid w:val="73B208D9"/>
    <w:rsid w:val="73B92B9C"/>
    <w:rsid w:val="7443040B"/>
    <w:rsid w:val="74981D42"/>
    <w:rsid w:val="753E1EBC"/>
    <w:rsid w:val="753F3898"/>
    <w:rsid w:val="753F42D9"/>
    <w:rsid w:val="755B52E3"/>
    <w:rsid w:val="75E530C5"/>
    <w:rsid w:val="76076F40"/>
    <w:rsid w:val="762074C3"/>
    <w:rsid w:val="763F16D7"/>
    <w:rsid w:val="76A2766B"/>
    <w:rsid w:val="76AA20C8"/>
    <w:rsid w:val="76C75323"/>
    <w:rsid w:val="76D25CF5"/>
    <w:rsid w:val="76F03D5B"/>
    <w:rsid w:val="772A6DDE"/>
    <w:rsid w:val="775862BB"/>
    <w:rsid w:val="7778661E"/>
    <w:rsid w:val="77922124"/>
    <w:rsid w:val="78172186"/>
    <w:rsid w:val="78BE16CF"/>
    <w:rsid w:val="78F46019"/>
    <w:rsid w:val="790D043F"/>
    <w:rsid w:val="79873D34"/>
    <w:rsid w:val="798F6A5B"/>
    <w:rsid w:val="79D079EF"/>
    <w:rsid w:val="79D30F01"/>
    <w:rsid w:val="79F76CD7"/>
    <w:rsid w:val="7A0423EA"/>
    <w:rsid w:val="7A1C4A41"/>
    <w:rsid w:val="7A252A8D"/>
    <w:rsid w:val="7A9E45ED"/>
    <w:rsid w:val="7AC129D1"/>
    <w:rsid w:val="7B1A0118"/>
    <w:rsid w:val="7B26063B"/>
    <w:rsid w:val="7B34327B"/>
    <w:rsid w:val="7B8B2DC3"/>
    <w:rsid w:val="7BB57FE5"/>
    <w:rsid w:val="7BF14DB2"/>
    <w:rsid w:val="7C5F0155"/>
    <w:rsid w:val="7C80779C"/>
    <w:rsid w:val="7C865339"/>
    <w:rsid w:val="7CC34D45"/>
    <w:rsid w:val="7CED3690"/>
    <w:rsid w:val="7D01065C"/>
    <w:rsid w:val="7D196844"/>
    <w:rsid w:val="7D1F2E68"/>
    <w:rsid w:val="7D61202E"/>
    <w:rsid w:val="7D641B1E"/>
    <w:rsid w:val="7DE22A43"/>
    <w:rsid w:val="7E4B7B91"/>
    <w:rsid w:val="7F242DC1"/>
    <w:rsid w:val="7F2D5F40"/>
    <w:rsid w:val="7F340893"/>
    <w:rsid w:val="7F48034D"/>
    <w:rsid w:val="7F4F798B"/>
    <w:rsid w:val="7FFC5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0"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4"/>
      <w:szCs w:val="22"/>
      <w:lang w:val="zh-CN" w:eastAsia="zh-CN" w:bidi="zh-CN"/>
    </w:rPr>
  </w:style>
  <w:style w:type="paragraph" w:styleId="3">
    <w:name w:val="heading 1"/>
    <w:basedOn w:val="1"/>
    <w:next w:val="1"/>
    <w:qFormat/>
    <w:uiPriority w:val="0"/>
    <w:pPr>
      <w:keepNext/>
      <w:keepLines/>
      <w:spacing w:beforeLines="0" w:beforeAutospacing="0" w:afterLines="0" w:afterAutospacing="0" w:line="360" w:lineRule="auto"/>
      <w:outlineLvl w:val="0"/>
    </w:pPr>
    <w:rPr>
      <w:rFonts w:ascii="宋体" w:hAnsi="宋体" w:eastAsia="宋体"/>
      <w:b/>
      <w:kern w:val="44"/>
      <w:sz w:val="30"/>
    </w:rPr>
  </w:style>
  <w:style w:type="paragraph" w:styleId="4">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黑体"/>
      <w:b/>
      <w:sz w:val="28"/>
    </w:rPr>
  </w:style>
  <w:style w:type="paragraph" w:styleId="5">
    <w:name w:val="heading 3"/>
    <w:basedOn w:val="1"/>
    <w:next w:val="1"/>
    <w:link w:val="21"/>
    <w:qFormat/>
    <w:uiPriority w:val="1"/>
    <w:pPr>
      <w:spacing w:line="360" w:lineRule="auto"/>
      <w:ind w:left="1134" w:hanging="1134"/>
      <w:outlineLvl w:val="2"/>
    </w:pPr>
    <w:rPr>
      <w:rFonts w:ascii="黑体" w:hAnsi="黑体" w:eastAsia="黑体" w:cs="黑体"/>
      <w:b/>
      <w:bCs/>
      <w:sz w:val="24"/>
      <w:szCs w:val="28"/>
    </w:rPr>
  </w:style>
  <w:style w:type="paragraph" w:styleId="6">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paragraph" w:styleId="7">
    <w:name w:val="heading 5"/>
    <w:basedOn w:val="1"/>
    <w:next w:val="1"/>
    <w:qFormat/>
    <w:uiPriority w:val="1"/>
    <w:pPr>
      <w:spacing w:before="74"/>
      <w:ind w:left="1381"/>
      <w:outlineLvl w:val="5"/>
    </w:pPr>
    <w:rPr>
      <w:rFonts w:ascii="宋体" w:hAnsi="宋体" w:eastAsia="宋体" w:cs="宋体"/>
      <w:b/>
      <w:bCs/>
      <w:sz w:val="24"/>
      <w:szCs w:val="24"/>
      <w:lang w:val="zh-CN" w:eastAsia="zh-CN" w:bidi="zh-CN"/>
    </w:rPr>
  </w:style>
  <w:style w:type="paragraph" w:styleId="8">
    <w:name w:val="heading 6"/>
    <w:basedOn w:val="1"/>
    <w:next w:val="1"/>
    <w:qFormat/>
    <w:uiPriority w:val="1"/>
    <w:pPr>
      <w:spacing w:before="160"/>
      <w:ind w:left="900"/>
      <w:outlineLvl w:val="6"/>
    </w:pPr>
    <w:rPr>
      <w:rFonts w:ascii="宋体" w:hAnsi="宋体" w:eastAsia="宋体" w:cs="宋体"/>
      <w:b/>
      <w:bCs/>
      <w:sz w:val="24"/>
      <w:szCs w:val="24"/>
      <w:lang w:val="zh-CN" w:eastAsia="zh-CN" w:bidi="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24"/>
      <w:szCs w:val="24"/>
      <w:lang w:val="zh-CN" w:eastAsia="zh-CN" w:bidi="zh-CN"/>
    </w:rPr>
  </w:style>
  <w:style w:type="paragraph" w:styleId="9">
    <w:name w:val="toa heading"/>
    <w:basedOn w:val="1"/>
    <w:next w:val="1"/>
    <w:qFormat/>
    <w:uiPriority w:val="0"/>
    <w:pPr>
      <w:spacing w:before="120"/>
    </w:pPr>
    <w:rPr>
      <w:rFonts w:ascii="Arial" w:hAnsi="Arial" w:cs="Arial"/>
    </w:rPr>
  </w:style>
  <w:style w:type="paragraph" w:styleId="10">
    <w:name w:val="annotation text"/>
    <w:basedOn w:val="1"/>
    <w:semiHidden/>
    <w:qFormat/>
    <w:uiPriority w:val="0"/>
    <w:pPr>
      <w:jc w:val="left"/>
    </w:pPr>
    <w:rPr>
      <w:kern w:val="0"/>
      <w:sz w:val="20"/>
    </w:rPr>
  </w:style>
  <w:style w:type="paragraph" w:styleId="11">
    <w:name w:val="Plain Text"/>
    <w:basedOn w:val="1"/>
    <w:qFormat/>
    <w:uiPriority w:val="0"/>
    <w:rPr>
      <w:rFonts w:ascii="宋体" w:hAnsi="Courier New" w:cs="Courier New"/>
      <w:sz w:val="21"/>
      <w:szCs w:val="21"/>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character" w:customStyle="1" w:styleId="21">
    <w:name w:val="标题 3 Char"/>
    <w:link w:val="5"/>
    <w:qFormat/>
    <w:uiPriority w:val="1"/>
    <w:rPr>
      <w:rFonts w:ascii="黑体" w:hAnsi="黑体" w:eastAsia="黑体" w:cs="黑体"/>
      <w:b/>
      <w:bCs/>
      <w:sz w:val="24"/>
      <w:szCs w:val="28"/>
      <w:lang w:val="zh-CN" w:eastAsia="zh-CN" w:bidi="zh-CN"/>
    </w:rPr>
  </w:style>
  <w:style w:type="paragraph" w:styleId="22">
    <w:name w:val="List Paragraph"/>
    <w:basedOn w:val="1"/>
    <w:qFormat/>
    <w:uiPriority w:val="1"/>
    <w:pPr>
      <w:spacing w:before="1"/>
      <w:ind w:left="2001" w:hanging="602"/>
    </w:pPr>
    <w:rPr>
      <w:rFonts w:ascii="宋体" w:hAnsi="宋体" w:eastAsia="宋体" w:cs="宋体"/>
      <w:lang w:val="zh-CN" w:eastAsia="zh-CN" w:bidi="zh-CN"/>
    </w:rPr>
  </w:style>
  <w:style w:type="paragraph" w:customStyle="1" w:styleId="23">
    <w:name w:val="Table Paragraph"/>
    <w:basedOn w:val="1"/>
    <w:qFormat/>
    <w:uiPriority w:val="1"/>
    <w:rPr>
      <w:rFonts w:ascii="Times New Roman" w:hAnsi="Times New Roman" w:eastAsia="Times New Roman" w:cs="Times New Roman"/>
      <w:lang w:val="zh-CN" w:eastAsia="zh-CN" w:bidi="zh-CN"/>
    </w:rPr>
  </w:style>
  <w:style w:type="paragraph" w:customStyle="1" w:styleId="24">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5">
    <w:name w:val="font01"/>
    <w:basedOn w:val="19"/>
    <w:qFormat/>
    <w:uiPriority w:val="0"/>
    <w:rPr>
      <w:rFonts w:hint="eastAsia" w:ascii="宋体" w:hAnsi="宋体" w:eastAsia="宋体" w:cs="宋体"/>
      <w:color w:val="000000"/>
      <w:sz w:val="24"/>
      <w:szCs w:val="24"/>
      <w:u w:val="none"/>
    </w:rPr>
  </w:style>
  <w:style w:type="paragraph" w:customStyle="1" w:styleId="26">
    <w:name w:val="正文样式"/>
    <w:basedOn w:val="1"/>
    <w:qFormat/>
    <w:uiPriority w:val="0"/>
    <w:pPr>
      <w:adjustRightInd w:val="0"/>
      <w:snapToGrid w:val="0"/>
      <w:spacing w:line="360" w:lineRule="auto"/>
      <w:ind w:firstLine="200" w:firstLineChars="200"/>
      <w:jc w:val="left"/>
    </w:pPr>
  </w:style>
  <w:style w:type="paragraph" w:customStyle="1" w:styleId="27">
    <w:name w:val="报告表正文"/>
    <w:basedOn w:val="1"/>
    <w:qFormat/>
    <w:uiPriority w:val="0"/>
    <w:pPr>
      <w:adjustRightInd w:val="0"/>
      <w:spacing w:line="312" w:lineRule="auto"/>
      <w:ind w:left="113" w:right="113" w:firstLine="482"/>
      <w:jc w:val="left"/>
      <w:textAlignment w:val="baseline"/>
    </w:pPr>
    <w:rPr>
      <w:kern w:val="0"/>
    </w:rPr>
  </w:style>
  <w:style w:type="paragraph" w:customStyle="1" w:styleId="28">
    <w:name w:val="样式 纯文本 + Times New Roman 四号 左 行距: 1.5 倍行距"/>
    <w:basedOn w:val="11"/>
    <w:qFormat/>
    <w:uiPriority w:val="0"/>
    <w:pPr>
      <w:spacing w:line="360" w:lineRule="auto"/>
      <w:ind w:firstLine="560" w:firstLineChars="200"/>
      <w:jc w:val="left"/>
    </w:pPr>
    <w:rPr>
      <w:rFonts w:hAnsi="宋体" w:cs="Times New Roman"/>
      <w:sz w:val="28"/>
      <w:lang w:val="zh-CN"/>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 w:type="paragraph" w:customStyle="1" w:styleId="31">
    <w:name w:val="WPSOffice手动目录 3"/>
    <w:qFormat/>
    <w:uiPriority w:val="0"/>
    <w:pPr>
      <w:ind w:leftChars="400"/>
    </w:pPr>
    <w:rPr>
      <w:rFonts w:ascii="Times New Roman" w:hAnsi="Times New Roman" w:eastAsia="宋体" w:cs="Times New Roman"/>
      <w:sz w:val="20"/>
      <w:szCs w:val="20"/>
    </w:rPr>
  </w:style>
  <w:style w:type="paragraph" w:customStyle="1" w:styleId="32">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3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34">
    <w:name w:val="Table Grid_0"/>
    <w:basedOn w:val="17"/>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wmf"/><Relationship Id="rId96" Type="http://schemas.openxmlformats.org/officeDocument/2006/relationships/image" Target="media/image89.wmf"/><Relationship Id="rId95" Type="http://schemas.openxmlformats.org/officeDocument/2006/relationships/image" Target="media/image88.wmf"/><Relationship Id="rId94" Type="http://schemas.openxmlformats.org/officeDocument/2006/relationships/image" Target="media/image87.wmf"/><Relationship Id="rId93" Type="http://schemas.openxmlformats.org/officeDocument/2006/relationships/image" Target="media/image86.wmf"/><Relationship Id="rId92" Type="http://schemas.openxmlformats.org/officeDocument/2006/relationships/image" Target="media/image85.wmf"/><Relationship Id="rId91" Type="http://schemas.openxmlformats.org/officeDocument/2006/relationships/image" Target="media/image84.wmf"/><Relationship Id="rId90" Type="http://schemas.openxmlformats.org/officeDocument/2006/relationships/image" Target="media/image83.wmf"/><Relationship Id="rId9" Type="http://schemas.openxmlformats.org/officeDocument/2006/relationships/image" Target="media/image2.jpeg"/><Relationship Id="rId89" Type="http://schemas.openxmlformats.org/officeDocument/2006/relationships/image" Target="media/image82.wmf"/><Relationship Id="rId88" Type="http://schemas.openxmlformats.org/officeDocument/2006/relationships/image" Target="media/image81.png"/><Relationship Id="rId87" Type="http://schemas.openxmlformats.org/officeDocument/2006/relationships/image" Target="media/image80.wmf"/><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wmf"/><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wmf"/><Relationship Id="rId8" Type="http://schemas.openxmlformats.org/officeDocument/2006/relationships/image" Target="media/image1.jpeg"/><Relationship Id="rId79" Type="http://schemas.openxmlformats.org/officeDocument/2006/relationships/image" Target="media/image72.wmf"/><Relationship Id="rId78" Type="http://schemas.openxmlformats.org/officeDocument/2006/relationships/image" Target="media/image71.wmf"/><Relationship Id="rId77" Type="http://schemas.openxmlformats.org/officeDocument/2006/relationships/image" Target="media/image70.wmf"/><Relationship Id="rId76" Type="http://schemas.openxmlformats.org/officeDocument/2006/relationships/image" Target="media/image69.wmf"/><Relationship Id="rId75" Type="http://schemas.openxmlformats.org/officeDocument/2006/relationships/image" Target="media/image68.wmf"/><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wmf"/><Relationship Id="rId62" Type="http://schemas.openxmlformats.org/officeDocument/2006/relationships/image" Target="media/image55.wmf"/><Relationship Id="rId61" Type="http://schemas.openxmlformats.org/officeDocument/2006/relationships/image" Target="media/image54.wmf"/><Relationship Id="rId60" Type="http://schemas.openxmlformats.org/officeDocument/2006/relationships/image" Target="media/image53.wmf"/><Relationship Id="rId6" Type="http://schemas.openxmlformats.org/officeDocument/2006/relationships/footer" Target="footer2.xml"/><Relationship Id="rId59" Type="http://schemas.openxmlformats.org/officeDocument/2006/relationships/image" Target="media/image52.wmf"/><Relationship Id="rId58" Type="http://schemas.openxmlformats.org/officeDocument/2006/relationships/image" Target="media/image51.wmf"/><Relationship Id="rId57" Type="http://schemas.openxmlformats.org/officeDocument/2006/relationships/image" Target="media/image50.wmf"/><Relationship Id="rId56" Type="http://schemas.openxmlformats.org/officeDocument/2006/relationships/image" Target="media/image49.wmf"/><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footer" Target="foot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png"/><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image" Target="media/image6.jpe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jpe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jpe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153</Pages>
  <Words>95895</Words>
  <Characters>108416</Characters>
  <Lines>0</Lines>
  <Paragraphs>0</Paragraphs>
  <TotalTime>0</TotalTime>
  <ScaleCrop>false</ScaleCrop>
  <LinksUpToDate>false</LinksUpToDate>
  <CharactersWithSpaces>110607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2021-11-25T09:30:00Z</dcterms:created>
  <dc:creator>Administrator</dc:creator>
  <cp:lastModifiedBy>GK彭强 13316466686</cp:lastModifiedBy>
  <dcterms:modified xsi:type="dcterms:W3CDTF">2022-02-26T04:17:06Z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D80084DCDF3A4DD0A6FE7821FE7C4E53</vt:lpwstr>
  </property>
</Properties>
</file>