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Pr="00137CBF" w:rsidRDefault="00B30BE1">
      <w:pPr>
        <w:widowControl/>
        <w:spacing w:line="578" w:lineRule="exact"/>
        <w:jc w:val="left"/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494949"/>
          <w:kern w:val="0"/>
          <w:sz w:val="32"/>
          <w:szCs w:val="32"/>
        </w:rPr>
        <w:t>附件1</w:t>
      </w:r>
    </w:p>
    <w:p w:rsidR="00380EAC" w:rsidRDefault="00380EAC">
      <w:pPr>
        <w:widowControl/>
        <w:spacing w:line="578" w:lineRule="exact"/>
        <w:jc w:val="left"/>
        <w:rPr>
          <w:rFonts w:ascii="方正黑体_GBK" w:eastAsia="方正黑体_GBK" w:hAnsi="方正黑体_GBK" w:cs="方正黑体_GBK"/>
          <w:color w:val="494949"/>
          <w:kern w:val="0"/>
          <w:sz w:val="32"/>
          <w:szCs w:val="32"/>
        </w:rPr>
      </w:pPr>
    </w:p>
    <w:p w:rsidR="00380EAC" w:rsidRDefault="00B30BE1">
      <w:pPr>
        <w:widowControl/>
        <w:spacing w:line="578" w:lineRule="exact"/>
        <w:jc w:val="center"/>
        <w:rPr>
          <w:rFonts w:ascii="方正小标宋_GBK" w:eastAsia="方正小标宋_GBK" w:hAnsi="方正小标宋_GBK" w:cs="方正小标宋_GBK"/>
          <w:bCs/>
          <w:color w:val="494949"/>
          <w:sz w:val="44"/>
          <w:szCs w:val="44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bCs/>
          <w:color w:val="494949"/>
          <w:kern w:val="0"/>
          <w:sz w:val="44"/>
          <w:szCs w:val="44"/>
        </w:rPr>
        <w:t>政协渠县委员会十四届四次会议大会发言</w:t>
      </w:r>
    </w:p>
    <w:p w:rsidR="00380EAC" w:rsidRDefault="00B30BE1">
      <w:pPr>
        <w:widowControl/>
        <w:spacing w:line="578" w:lineRule="exact"/>
        <w:jc w:val="center"/>
        <w:rPr>
          <w:rFonts w:ascii="方正小标宋_GBK" w:eastAsia="方正小标宋_GBK" w:hAnsi="方正小标宋_GBK" w:cs="方正小标宋_GBK"/>
          <w:bCs/>
          <w:color w:val="494949"/>
          <w:sz w:val="44"/>
          <w:szCs w:val="44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bCs/>
          <w:color w:val="494949"/>
          <w:kern w:val="0"/>
          <w:sz w:val="44"/>
          <w:szCs w:val="44"/>
        </w:rPr>
        <w:t>参考题目</w:t>
      </w:r>
    </w:p>
    <w:p w:rsidR="00380EAC" w:rsidRDefault="00B30BE1">
      <w:pPr>
        <w:widowControl/>
        <w:spacing w:line="578" w:lineRule="exact"/>
        <w:jc w:val="left"/>
        <w:rPr>
          <w:rStyle w:val="a7"/>
          <w:rFonts w:ascii="方正小标宋_GBK" w:eastAsia="方正小标宋_GBK" w:hAnsi="方正小标宋_GBK" w:cs="方正小标宋_GBK"/>
          <w:b w:val="0"/>
          <w:bCs/>
          <w:color w:val="494949"/>
          <w:kern w:val="0"/>
          <w:sz w:val="44"/>
          <w:szCs w:val="44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bCs/>
          <w:color w:val="494949"/>
          <w:kern w:val="0"/>
          <w:sz w:val="44"/>
          <w:szCs w:val="44"/>
        </w:rPr>
        <w:t> </w:t>
      </w:r>
    </w:p>
    <w:p w:rsidR="00380EAC" w:rsidRDefault="00B30BE1">
      <w:pPr>
        <w:widowControl/>
        <w:spacing w:line="578" w:lineRule="exact"/>
        <w:ind w:leftChars="304" w:left="638"/>
        <w:jc w:val="left"/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</w:pPr>
      <w:r>
        <w:rPr>
          <w:rStyle w:val="a7"/>
          <w:rFonts w:ascii="方正黑体_GBK" w:eastAsia="方正黑体_GBK" w:hAnsi="方正黑体_GBK" w:cs="方正黑体_GBK" w:hint="eastAsia"/>
          <w:b w:val="0"/>
          <w:bCs/>
          <w:color w:val="494949"/>
          <w:kern w:val="0"/>
          <w:sz w:val="32"/>
          <w:szCs w:val="32"/>
        </w:rPr>
        <w:t>一、深化改革、发展经济方面</w:t>
      </w:r>
      <w:r>
        <w:rPr>
          <w:rFonts w:ascii="方正黑体_GBK" w:eastAsia="方正黑体_GBK" w:hAnsi="方正黑体_GBK" w:cs="方正黑体_GBK" w:hint="eastAsia"/>
          <w:bCs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关于深化我县农业供给侧结构性改革的建议；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2.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关于大力推进乡村产业振兴的建议；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关于加强非贫困村扶持工作的建议；</w:t>
      </w:r>
    </w:p>
    <w:p w:rsidR="00380EAC" w:rsidRDefault="00B30BE1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关于加快建设賨人谷运动休闲特色小镇的建议；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关于深化农村土地制度改革的建议；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6.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关于深化农村集体产权制度改革的建议；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7.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关于大力集聚创新人才，实施创新驱动战略的建议；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8.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关于构建产业新体系，促进我县经济转型发展的建议；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9.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关于强化企业投资主体地位，减轻政府负债投资的建议；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10.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关于强力推进我县重点项目建设的建议；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11.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关于积极探索省直管县经济体制改革的建议；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12.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关于进一步简政放权，激活乡镇改革发展活力的建议；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13.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关于深化县级行政审批制度改革的建议；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14.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关于加快我县产业园区建设的建议；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15.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关于优化投资结构，提高投资有效性的建议；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16.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关于大力发展我县第三产业的建议；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lastRenderedPageBreak/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17.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关于引导企业加强自主创新，打造自主品牌的建议；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18.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关于进一步推动小微企业融资服务工作的建议；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19.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关于加快发展我县现代服务业的建议；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20.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关于拓宽投资领域，激活民间资金的建议；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21.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关于积极搭建平台，进一步拓宽招商引资渠道的建议；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22.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关于完善我县国有资产管理体制的建议；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23.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关于统筹协调发展，推进城乡一体化建设的建议；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24.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关于进一步完善农村公共基础设施建设的建议；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25.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关于加强我县农村水利设施管护的建议；</w:t>
      </w:r>
    </w:p>
    <w:p w:rsidR="00380EAC" w:rsidRDefault="00B30BE1">
      <w:pPr>
        <w:widowControl/>
        <w:spacing w:line="578" w:lineRule="exact"/>
        <w:ind w:leftChars="304" w:left="638"/>
        <w:jc w:val="left"/>
        <w:rPr>
          <w:rFonts w:ascii="方正黑体_GBK" w:eastAsia="方正黑体_GBK" w:hAnsi="方正黑体_GBK" w:cs="方正黑体_GBK"/>
          <w:color w:val="494949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26.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关于大力发展特色现代农业，壮大产业规模的建议；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27.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关于合理利用与开发农村集体用地的建议；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28.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关于创新金融服务，加大农村金融支持力度的建议；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方正黑体_GBK" w:eastAsia="方正黑体_GBK" w:hAnsi="方正黑体_GBK" w:cs="方正黑体_GBK" w:hint="eastAsia"/>
          <w:color w:val="494949"/>
          <w:kern w:val="0"/>
          <w:sz w:val="32"/>
          <w:szCs w:val="32"/>
        </w:rPr>
        <w:t>二、社会事业及文化教育方面</w:t>
      </w:r>
    </w:p>
    <w:p w:rsidR="00380EAC" w:rsidRDefault="00B30BE1">
      <w:pPr>
        <w:widowControl/>
        <w:spacing w:line="578" w:lineRule="exact"/>
        <w:ind w:leftChars="304" w:left="638"/>
        <w:jc w:val="left"/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>29.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关于大力推进乡村文化振兴的建议；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30.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关于深化机构和行政体制改革的建议；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31.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关于深入推进社会治理创新，维护社会和谐稳定的建议；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32.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关于完善被征地农民社会保障的建议；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33.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关于进一步加强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四川文化强县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34.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关于传承与弘扬传统文化的建议；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35.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关于净化社会文化环境、促进青少年健康成长的建议；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36.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关于深度推进我县特色文旅产业发展的建议；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37.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关于进一步加强我县防洪减灾工作的建议；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lastRenderedPageBreak/>
        <w:t>38.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关于进一步振兴渠县教育的建议；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39.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关于进一步改善医患关系，促进社会和谐的建议；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40.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关于加强我县文体事业发展的建议；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41.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关于进一步加强食品药品监督管理的建议；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42.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关于加强安全生产工作的建议；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43.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关于加强非物质文化遗产保护工作的建议；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44.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关于加强文化基础设施建设，活跃群众文化生活的建议；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45.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关于加强农村公共卫生服务体系建设的建议；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方正黑体_GBK" w:eastAsia="方正黑体_GBK" w:hAnsi="方正黑体_GBK" w:cs="方正黑体_GBK" w:hint="eastAsia"/>
          <w:color w:val="494949"/>
          <w:kern w:val="0"/>
          <w:sz w:val="32"/>
          <w:szCs w:val="32"/>
        </w:rPr>
        <w:t>三、推进城镇化建设方面</w:t>
      </w:r>
      <w:r>
        <w:rPr>
          <w:rFonts w:ascii="方正黑体_GBK" w:eastAsia="方正黑体_GBK" w:hAnsi="方正黑体_GBK" w:cs="方正黑体_GBK" w:hint="eastAsia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46.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关于进一步推进新型城镇化的建议；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47.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关于完善社区网格综合治理体系的建议；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48.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关于抓好城镇危旧房，棚户区改造的建议；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49.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关于加大城市、农村违章建筑监管的建议</w:t>
      </w:r>
      <w:bookmarkStart w:id="0" w:name="_GoBack"/>
      <w:bookmarkEnd w:id="0"/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50.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关于推进现代化新型社区建设的建议；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51.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关于进一步提高公交服务质量，提升城市形象的建议；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52.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关于进一步规范小区物业管理，建设文明城市的建议；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方正黑体_GBK" w:eastAsia="方正黑体_GBK" w:hAnsi="方正黑体_GBK" w:cs="方正黑体_GBK" w:hint="eastAsia"/>
          <w:color w:val="494949"/>
          <w:kern w:val="0"/>
          <w:sz w:val="32"/>
          <w:szCs w:val="32"/>
        </w:rPr>
        <w:t>四、民主政治建设和法治建设方面</w:t>
      </w:r>
      <w:r>
        <w:rPr>
          <w:rFonts w:ascii="方正黑体_GBK" w:eastAsia="方正黑体_GBK" w:hAnsi="方正黑体_GBK" w:cs="方正黑体_GBK" w:hint="eastAsia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53.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关于大力推进乡村组织振兴的建议；</w:t>
      </w:r>
    </w:p>
    <w:p w:rsidR="00380EAC" w:rsidRDefault="00B30BE1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54.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关于大力推进乡村人才振兴的建议；</w:t>
      </w:r>
    </w:p>
    <w:p w:rsidR="00380EAC" w:rsidRDefault="00B30BE1">
      <w:pPr>
        <w:widowControl/>
        <w:spacing w:line="578" w:lineRule="exact"/>
        <w:ind w:leftChars="304" w:left="638"/>
        <w:jc w:val="left"/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55.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关于深入推进我县依法治县的建议；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56.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关于加强公民思想道德建设的建议；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57.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关于大力发展基层协商民主的建议；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lastRenderedPageBreak/>
        <w:t>58.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关于充分发挥民主党派、工商联、无党派作用的建议；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59.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关于拓宽公民有序参与立法途径的建议；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60.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关于深化我县行政执法体制改革的建议；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61.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关于建立健全网络问政制度，畅通民意诉求渠道的建议；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62.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关于进一步深化行政效能建设的建议；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</w:r>
      <w:r>
        <w:rPr>
          <w:rFonts w:ascii="方正黑体_GBK" w:eastAsia="方正黑体_GBK" w:hAnsi="方正黑体_GBK" w:cs="方正黑体_GBK" w:hint="eastAsia"/>
          <w:color w:val="494949"/>
          <w:kern w:val="0"/>
          <w:sz w:val="32"/>
          <w:szCs w:val="32"/>
        </w:rPr>
        <w:t>五、生态文明建设方面</w:t>
      </w:r>
      <w:r>
        <w:rPr>
          <w:rFonts w:ascii="方正黑体_GBK" w:eastAsia="方正黑体_GBK" w:hAnsi="方正黑体_GBK" w:cs="方正黑体_GBK" w:hint="eastAsia"/>
          <w:color w:val="494949"/>
          <w:kern w:val="0"/>
          <w:sz w:val="32"/>
          <w:szCs w:val="32"/>
        </w:rPr>
        <w:br/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63.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关于加快推进乡村生态振兴的建议；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64.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关于改革我县生态环境监管体制的建议；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65.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关于建立生态补偿机制，促进生态文明建设的建议；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66.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关于加强农村生态环境治理，建设美丽幸福乡村的建议；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67.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关于加大环境保护执法力度，建设和谐人居环境的建议；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68.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关于大力推进节能减排的建议；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69.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关于积极预防和应对区域雾霾污染的建议；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>70.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关于发展循环低碳经济，实现经济、环境双赢的建议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br/>
        <w:t xml:space="preserve"> </w:t>
      </w:r>
    </w:p>
    <w:p w:rsidR="00380EAC" w:rsidRPr="00137CBF" w:rsidRDefault="00B30BE1" w:rsidP="00137CBF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注：以上发言题目仅供参考</w:t>
      </w:r>
      <w:r>
        <w:rPr>
          <w:rFonts w:ascii="Times New Roman" w:eastAsia="方正仿宋_GBK" w:hAnsi="Times New Roman" w:cs="Times New Roman" w:hint="eastAsia"/>
          <w:color w:val="494949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494949"/>
          <w:kern w:val="0"/>
          <w:sz w:val="32"/>
          <w:szCs w:val="32"/>
        </w:rPr>
        <w:t>委员可结合自身工作实际另行拟题撰写发言材料。</w:t>
      </w:r>
    </w:p>
    <w:sectPr w:rsidR="00380EAC" w:rsidRPr="00137CBF" w:rsidSect="00380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AC" w:rsidRDefault="00380EAC" w:rsidP="00380EAC">
      <w:r>
        <w:separator/>
      </w:r>
    </w:p>
  </w:endnote>
  <w:endnote w:type="continuationSeparator" w:id="0">
    <w:p w:rsidR="00380EAC" w:rsidRDefault="00380EAC" w:rsidP="0038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60" w:rsidRDefault="001943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EAC" w:rsidRDefault="001B509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80EAC" w:rsidRDefault="001B5098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B30BE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94360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60" w:rsidRDefault="001943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AC" w:rsidRDefault="00380EAC" w:rsidP="00380EAC">
      <w:r>
        <w:separator/>
      </w:r>
    </w:p>
  </w:footnote>
  <w:footnote w:type="continuationSeparator" w:id="0">
    <w:p w:rsidR="00380EAC" w:rsidRDefault="00380EAC" w:rsidP="00380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60" w:rsidRDefault="001943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BF" w:rsidRDefault="00137CBF" w:rsidP="0019436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60" w:rsidRDefault="001943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09E46"/>
    <w:multiLevelType w:val="singleLevel"/>
    <w:tmpl w:val="52809E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7031D1"/>
    <w:multiLevelType w:val="singleLevel"/>
    <w:tmpl w:val="627031D1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E76A38"/>
    <w:rsid w:val="00137CBF"/>
    <w:rsid w:val="00194360"/>
    <w:rsid w:val="001B5098"/>
    <w:rsid w:val="00380EAC"/>
    <w:rsid w:val="006600A9"/>
    <w:rsid w:val="007D1B7D"/>
    <w:rsid w:val="008D087D"/>
    <w:rsid w:val="00B30BE1"/>
    <w:rsid w:val="00BD3421"/>
    <w:rsid w:val="05CF463F"/>
    <w:rsid w:val="08620CFC"/>
    <w:rsid w:val="08FF585A"/>
    <w:rsid w:val="0A4842E4"/>
    <w:rsid w:val="0D713EF1"/>
    <w:rsid w:val="0DB2631A"/>
    <w:rsid w:val="0F043A2A"/>
    <w:rsid w:val="0F83315A"/>
    <w:rsid w:val="0FEE7BC9"/>
    <w:rsid w:val="13471289"/>
    <w:rsid w:val="16FC2600"/>
    <w:rsid w:val="1E8F7193"/>
    <w:rsid w:val="26757B23"/>
    <w:rsid w:val="2AE936BA"/>
    <w:rsid w:val="34301FAF"/>
    <w:rsid w:val="35084045"/>
    <w:rsid w:val="36F631B3"/>
    <w:rsid w:val="394D1D37"/>
    <w:rsid w:val="3C1C0A51"/>
    <w:rsid w:val="3C866CDE"/>
    <w:rsid w:val="3D7179D6"/>
    <w:rsid w:val="41055A12"/>
    <w:rsid w:val="46FB3291"/>
    <w:rsid w:val="494C15F8"/>
    <w:rsid w:val="4DBD169C"/>
    <w:rsid w:val="4EF8647D"/>
    <w:rsid w:val="50917123"/>
    <w:rsid w:val="517939CA"/>
    <w:rsid w:val="524106BD"/>
    <w:rsid w:val="54E0350B"/>
    <w:rsid w:val="56CA2888"/>
    <w:rsid w:val="59E76A38"/>
    <w:rsid w:val="5B3E57B1"/>
    <w:rsid w:val="66D64C05"/>
    <w:rsid w:val="66FA3E5B"/>
    <w:rsid w:val="6B3A010B"/>
    <w:rsid w:val="70527F3B"/>
    <w:rsid w:val="737E1843"/>
    <w:rsid w:val="743A4C7C"/>
    <w:rsid w:val="7F27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EA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80EAC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80EAC"/>
    <w:rPr>
      <w:rFonts w:ascii="宋体" w:hAnsi="Courier New" w:cs="Courier New"/>
      <w:szCs w:val="21"/>
    </w:rPr>
  </w:style>
  <w:style w:type="paragraph" w:styleId="a4">
    <w:name w:val="footer"/>
    <w:basedOn w:val="a"/>
    <w:qFormat/>
    <w:rsid w:val="00380E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80EA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rsid w:val="00380E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380EAC"/>
    <w:rPr>
      <w:b/>
    </w:rPr>
  </w:style>
  <w:style w:type="character" w:styleId="a8">
    <w:name w:val="Hyperlink"/>
    <w:basedOn w:val="a0"/>
    <w:qFormat/>
    <w:rsid w:val="00380EAC"/>
    <w:rPr>
      <w:color w:val="0000FF"/>
      <w:u w:val="single"/>
    </w:rPr>
  </w:style>
  <w:style w:type="paragraph" w:customStyle="1" w:styleId="p0">
    <w:name w:val="p0"/>
    <w:basedOn w:val="a"/>
    <w:qFormat/>
    <w:rsid w:val="00380EAC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10">
    <w:name w:val="列出段落1"/>
    <w:basedOn w:val="a"/>
    <w:uiPriority w:val="34"/>
    <w:qFormat/>
    <w:rsid w:val="00380E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1558</Words>
  <Characters>300</Characters>
  <Application>Microsoft Office Word</Application>
  <DocSecurity>0</DocSecurity>
  <Lines>2</Lines>
  <Paragraphs>3</Paragraphs>
  <ScaleCrop>false</ScaleCrop>
  <Company>微软中国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cp:lastPrinted>2018-09-29T07:59:00Z</cp:lastPrinted>
  <dcterms:created xsi:type="dcterms:W3CDTF">2018-09-11T00:15:00Z</dcterms:created>
  <dcterms:modified xsi:type="dcterms:W3CDTF">2018-11-14T02:52:00Z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